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834" w:rsidRDefault="002C3834" w:rsidP="002C3834">
      <w:pPr>
        <w:tabs>
          <w:tab w:val="left" w:pos="-720"/>
        </w:tabs>
        <w:suppressAutoHyphens w:val="0"/>
        <w:rPr>
          <w:rFonts w:cs="Times New Roman"/>
          <w:b/>
          <w:bCs/>
          <w:spacing w:val="-3"/>
        </w:rPr>
      </w:pPr>
      <w:r>
        <w:rPr>
          <w:rFonts w:cs="Times New Roman"/>
          <w:b/>
          <w:bCs/>
          <w:spacing w:val="-3"/>
        </w:rPr>
        <w:t>4.11 Anexos de las Condiciones Específicas:</w:t>
      </w:r>
    </w:p>
    <w:p w:rsidR="002C3834" w:rsidRDefault="002C3834" w:rsidP="002C3834">
      <w:pPr>
        <w:tabs>
          <w:tab w:val="left" w:pos="-720"/>
        </w:tabs>
        <w:suppressAutoHyphens w:val="0"/>
        <w:rPr>
          <w:rFonts w:cs="Times New Roman"/>
          <w:b/>
          <w:bCs/>
          <w:spacing w:val="-3"/>
        </w:rPr>
      </w:pPr>
    </w:p>
    <w:p w:rsidR="002C3834" w:rsidRDefault="002C3834" w:rsidP="002C3834">
      <w:pPr>
        <w:ind w:right="-119"/>
        <w:jc w:val="both"/>
        <w:rPr>
          <w:rFonts w:cs="Times New Roman"/>
          <w:b/>
          <w:bCs/>
          <w:spacing w:val="-3"/>
        </w:rPr>
      </w:pPr>
    </w:p>
    <w:p w:rsidR="002C3834" w:rsidRDefault="002C3834" w:rsidP="002C3834">
      <w:pPr>
        <w:pStyle w:val="ListParagraph"/>
        <w:ind w:left="0" w:right="-11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ab/>
        <w:t>4.11.1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ab/>
        <w:t xml:space="preserve">Especificaciones técnicas: </w:t>
      </w:r>
      <w:r>
        <w:rPr>
          <w:rFonts w:ascii="Times New Roman" w:hAnsi="Times New Roman" w:cs="Times New Roman"/>
          <w:bCs/>
          <w:sz w:val="24"/>
          <w:szCs w:val="24"/>
        </w:rPr>
        <w:t>Se incluirán las especificaciones técnicas</w:t>
      </w:r>
      <w:r>
        <w:rPr>
          <w:rFonts w:ascii="Times New Roman" w:hAnsi="Times New Roman" w:cs="Times New Roman"/>
          <w:bCs/>
          <w:sz w:val="24"/>
          <w:szCs w:val="24"/>
        </w:rPr>
        <w:tab/>
        <w:t>de los Equipos de Computación  a Adquirir para la contratación de los mismos.</w:t>
      </w:r>
    </w:p>
    <w:tbl>
      <w:tblPr>
        <w:tblW w:w="87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17"/>
        <w:gridCol w:w="1803"/>
        <w:gridCol w:w="1360"/>
      </w:tblGrid>
      <w:tr w:rsidR="002C3834" w:rsidRPr="00934C14" w:rsidTr="00724337">
        <w:trPr>
          <w:trHeight w:val="600"/>
        </w:trPr>
        <w:tc>
          <w:tcPr>
            <w:tcW w:w="7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jc w:val="center"/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DESCRIPCION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PRECIO UNITARIO </w:t>
            </w: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b/>
                <w:color w:val="000000"/>
                <w:sz w:val="22"/>
                <w:szCs w:val="22"/>
                <w:lang w:val="es-ES" w:eastAsia="es-ES"/>
              </w:rPr>
            </w:pPr>
            <w:r>
              <w:rPr>
                <w:rFonts w:ascii="Calibri" w:hAnsi="Calibri" w:cs="Times New Roman"/>
                <w:b/>
                <w:color w:val="000000"/>
                <w:sz w:val="22"/>
                <w:szCs w:val="22"/>
                <w:lang w:val="es-ES" w:eastAsia="es-ES"/>
              </w:rPr>
              <w:t xml:space="preserve">UPS </w:t>
            </w:r>
            <w:r w:rsidRPr="00934C14">
              <w:rPr>
                <w:rFonts w:ascii="Calibri" w:hAnsi="Calibri" w:cs="Times New Roman"/>
                <w:b/>
                <w:color w:val="000000"/>
                <w:sz w:val="22"/>
                <w:szCs w:val="22"/>
                <w:lang w:val="es-ES" w:eastAsia="es-ES"/>
              </w:rPr>
              <w:t xml:space="preserve"> DE 10kVA Y 9 U en Rack/Torre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834" w:rsidRPr="00934C14" w:rsidRDefault="002C3834" w:rsidP="00724337">
            <w:pPr>
              <w:suppressAutoHyphens w:val="0"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7.650,00</w:t>
            </w: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Capacidad de salida (VA)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10000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Factor de alimentación de salida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0.9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Factor de cresta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3:01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Voltaje (s) Nominal (es) de Salida Soportados (s)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120V;208V;240V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 xml:space="preserve">Compatibilidad de frecuencia 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50/60 Hz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Regulación de la tensión de salida (modo línea)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2%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 xml:space="preserve">Regulación de voltaje de salida (modo de línea </w:t>
            </w:r>
            <w:proofErr w:type="spellStart"/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economica</w:t>
            </w:r>
            <w:proofErr w:type="spellEnd"/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)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10%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 xml:space="preserve">Regulación del voltaje de salida (modo </w:t>
            </w:r>
            <w:proofErr w:type="spellStart"/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bateria</w:t>
            </w:r>
            <w:proofErr w:type="spellEnd"/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)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2%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 xml:space="preserve">Interruptor automático de salida 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63A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ENTRADA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Corriente de entrada clasificada ( a carga Máxima)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54A (208V)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Voltaje (s) Nominal (es) de Salida Soportados (s)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208V CA;240 V CA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 xml:space="preserve">Servicio </w:t>
            </w:r>
            <w:proofErr w:type="spellStart"/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electrico</w:t>
            </w:r>
            <w:proofErr w:type="spellEnd"/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 xml:space="preserve"> recomendado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60A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 xml:space="preserve">BATERIA 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Autonomía con carga completa (minutos)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4.3 min. (9000w)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Autonomía con media carga (minutos)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12.5 min. (4500w)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 xml:space="preserve">Autonomía de </w:t>
            </w:r>
            <w:proofErr w:type="spellStart"/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bateria</w:t>
            </w:r>
            <w:proofErr w:type="spellEnd"/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 xml:space="preserve"> expandible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 xml:space="preserve">Se puede expandir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SUBTOTAL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jc w:val="right"/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  <w:t>7.650,00</w:t>
            </w: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  <w:t>IVA 12%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jc w:val="right"/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  <w:t>918,00</w:t>
            </w:r>
          </w:p>
        </w:tc>
      </w:tr>
      <w:tr w:rsidR="002C3834" w:rsidRPr="00934C14" w:rsidTr="00724337">
        <w:trPr>
          <w:trHeight w:val="300"/>
        </w:trPr>
        <w:tc>
          <w:tcPr>
            <w:tcW w:w="5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TOTAL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934C14" w:rsidRDefault="002C3834" w:rsidP="00724337">
            <w:pPr>
              <w:suppressAutoHyphens w:val="0"/>
              <w:jc w:val="right"/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34C14"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  <w:t>8.568,00</w:t>
            </w:r>
          </w:p>
        </w:tc>
      </w:tr>
    </w:tbl>
    <w:p w:rsidR="002C3834" w:rsidRDefault="002C3834" w:rsidP="002C3834">
      <w:pPr>
        <w:pStyle w:val="ListParagraph"/>
        <w:ind w:left="0" w:right="-11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C3834" w:rsidRDefault="002C3834" w:rsidP="002C3834">
      <w:pPr>
        <w:pStyle w:val="ListParagraph"/>
        <w:ind w:left="0" w:right="-11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77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40"/>
        <w:gridCol w:w="1660"/>
      </w:tblGrid>
      <w:tr w:rsidR="002C3834" w:rsidRPr="00FD69F0" w:rsidTr="00724337">
        <w:trPr>
          <w:trHeight w:val="600"/>
        </w:trPr>
        <w:tc>
          <w:tcPr>
            <w:tcW w:w="6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834" w:rsidRPr="00FD69F0" w:rsidRDefault="002C3834" w:rsidP="00724337">
            <w:pPr>
              <w:suppressAutoHyphens w:val="0"/>
              <w:jc w:val="center"/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  <w:t>DESCRIPCION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834" w:rsidRPr="00FD69F0" w:rsidRDefault="002C3834" w:rsidP="00724337">
            <w:pPr>
              <w:suppressAutoHyphens w:val="0"/>
              <w:jc w:val="center"/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VALOR UNITARIO </w:t>
            </w: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n-US" w:eastAsia="es-ES"/>
              </w:rPr>
            </w:pPr>
            <w:r w:rsidRPr="00FD69F0"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n-US" w:eastAsia="es-ES"/>
              </w:rPr>
              <w:t>UPS RT 6000VA 230V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834" w:rsidRPr="00FD69F0" w:rsidRDefault="002C3834" w:rsidP="00724337">
            <w:pPr>
              <w:suppressAutoHyphens w:val="0"/>
              <w:jc w:val="center"/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n-US" w:eastAsia="es-ES"/>
              </w:rPr>
            </w:pPr>
            <w:r w:rsidRPr="00FD69F0"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n-US" w:eastAsia="es-ES"/>
              </w:rPr>
              <w:t> </w:t>
            </w: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SALIDA 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834" w:rsidRPr="00FD69F0" w:rsidRDefault="002C3834" w:rsidP="00724337">
            <w:pPr>
              <w:suppressAutoHyphens w:val="0"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3737,36</w:t>
            </w: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Capacidad de Potencia de Salida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4200 Vatios / 6000 VA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Max Potencia Configurable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4200 Vatios / 6000 VA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Voltaje de salida nominal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230V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Nota de voltaje de salida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Configurable para 220:tensión nominal de salida 230 o 240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Distorsión de Voltaje de Salida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lastRenderedPageBreak/>
              <w:t xml:space="preserve">Pantalla de estado del LED con </w:t>
            </w:r>
            <w:proofErr w:type="spellStart"/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On</w:t>
            </w:r>
            <w:proofErr w:type="spellEnd"/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-Line: En batería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Frecuencia de salida (sincronizado para principales)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50/60 Hz +/- 3 Hz ajustable por el usuario +/- 0, 1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Otras tensiones de salida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220, 240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Factor Cresta 3:01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Topología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Online de doble conversión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Tipo de forma de onda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 xml:space="preserve">Onda </w:t>
            </w:r>
            <w:proofErr w:type="spellStart"/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senoidal</w:t>
            </w:r>
            <w:proofErr w:type="spellEnd"/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Conexiones de salida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75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(8) IEC 320 C13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3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(2) IEC 320 C19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75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 xml:space="preserve">(4) IEC </w:t>
            </w:r>
            <w:proofErr w:type="spellStart"/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Jumpers</w:t>
            </w:r>
            <w:proofErr w:type="spellEnd"/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Derivación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Derivación Interna (Automática y Manual)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  <w:t>ENTRADA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Voltaje Nominal de Entrada 230V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Frecuencia de entrada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 xml:space="preserve">50/60 Hz +/- 5 Hz (auto </w:t>
            </w:r>
            <w:proofErr w:type="spellStart"/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sensing</w:t>
            </w:r>
            <w:proofErr w:type="spellEnd"/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)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Tipo de Conexión de Entrada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15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Hard</w:t>
            </w:r>
            <w:proofErr w:type="spellEnd"/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Wire</w:t>
            </w:r>
            <w:proofErr w:type="spellEnd"/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 xml:space="preserve"> 3-wire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Rango de voltaje de entrada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en operaciones principales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160 - 280V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Rango de voltaje ajustable para operaciones principales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100 - 280V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Otras tensiones de entrada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  <w:t>220, 240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834" w:rsidRPr="00FD69F0" w:rsidRDefault="002C3834" w:rsidP="00724337">
            <w:pPr>
              <w:suppressAutoHyphens w:val="0"/>
              <w:rPr>
                <w:rFonts w:ascii="Calibri" w:hAnsi="Calibri" w:cs="Times New Roman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jc w:val="right"/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SUBTOTAL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jc w:val="right"/>
              <w:rPr>
                <w:rFonts w:ascii="Calibri" w:hAnsi="Calibri" w:cs="Times New Roman"/>
                <w:b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b/>
                <w:color w:val="000000"/>
                <w:sz w:val="22"/>
                <w:szCs w:val="22"/>
                <w:lang w:val="es-ES" w:eastAsia="es-ES"/>
              </w:rPr>
              <w:t>3737.36</w:t>
            </w: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jc w:val="right"/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12% IVA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jc w:val="right"/>
              <w:rPr>
                <w:rFonts w:ascii="Calibri" w:hAnsi="Calibri" w:cs="Times New Roman"/>
                <w:b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b/>
                <w:color w:val="000000"/>
                <w:sz w:val="22"/>
                <w:szCs w:val="22"/>
                <w:lang w:val="es-ES" w:eastAsia="es-ES"/>
              </w:rPr>
              <w:t>448.48</w:t>
            </w:r>
          </w:p>
        </w:tc>
      </w:tr>
      <w:tr w:rsidR="002C3834" w:rsidRPr="00FD69F0" w:rsidTr="00724337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jc w:val="right"/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TOTAL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834" w:rsidRPr="00FD69F0" w:rsidRDefault="002C3834" w:rsidP="00724337">
            <w:pPr>
              <w:suppressAutoHyphens w:val="0"/>
              <w:jc w:val="right"/>
              <w:rPr>
                <w:rFonts w:ascii="Calibri" w:hAnsi="Calibri" w:cs="Times New Roman"/>
                <w:b/>
                <w:color w:val="000000"/>
                <w:sz w:val="22"/>
                <w:szCs w:val="22"/>
                <w:lang w:val="es-ES" w:eastAsia="es-ES"/>
              </w:rPr>
            </w:pPr>
            <w:r w:rsidRPr="00FD69F0">
              <w:rPr>
                <w:rFonts w:ascii="Calibri" w:hAnsi="Calibri" w:cs="Times New Roman"/>
                <w:b/>
                <w:color w:val="000000"/>
                <w:sz w:val="22"/>
                <w:szCs w:val="22"/>
                <w:lang w:val="es-ES" w:eastAsia="es-ES"/>
              </w:rPr>
              <w:t>4185.84</w:t>
            </w:r>
          </w:p>
        </w:tc>
      </w:tr>
    </w:tbl>
    <w:p w:rsidR="002C3834" w:rsidRDefault="002C3834" w:rsidP="002C3834">
      <w:pPr>
        <w:pStyle w:val="ListParagraph"/>
        <w:ind w:left="0" w:right="-11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5E53" w:rsidRDefault="002C3834" w:rsidP="002C3834">
      <w:r>
        <w:rPr>
          <w:rFonts w:cs="Times New Roman"/>
          <w:b/>
          <w:bCs/>
        </w:rPr>
        <w:t xml:space="preserve">4.11.2 Presupuesto Referencial: </w:t>
      </w:r>
      <w:r>
        <w:rPr>
          <w:rFonts w:cs="Times New Roman"/>
          <w:bCs/>
          <w:spacing w:val="-3"/>
        </w:rPr>
        <w:t xml:space="preserve">El Presupuesto Referencial es  de </w:t>
      </w:r>
      <w:r w:rsidRPr="00891EB8">
        <w:rPr>
          <w:rFonts w:cs="Times New Roman"/>
          <w:b/>
          <w:bCs/>
          <w:i/>
          <w:spacing w:val="-3"/>
          <w:u w:val="single"/>
        </w:rPr>
        <w:t>$</w:t>
      </w:r>
      <w:r>
        <w:rPr>
          <w:rFonts w:cs="Times New Roman"/>
          <w:b/>
          <w:bCs/>
          <w:i/>
          <w:spacing w:val="-3"/>
          <w:u w:val="single"/>
        </w:rPr>
        <w:t xml:space="preserve"> 12.753,84</w:t>
      </w:r>
      <w:r w:rsidRPr="00C06204">
        <w:rPr>
          <w:rFonts w:cs="Times New Roman"/>
          <w:b/>
          <w:bCs/>
          <w:color w:val="FF0000"/>
          <w:spacing w:val="-3"/>
        </w:rPr>
        <w:t xml:space="preserve"> </w:t>
      </w:r>
      <w:r w:rsidRPr="00C06204">
        <w:rPr>
          <w:rFonts w:cs="Times New Roman"/>
          <w:b/>
          <w:bCs/>
          <w:spacing w:val="-3"/>
        </w:rPr>
        <w:t>dólares americanos</w:t>
      </w:r>
      <w:r>
        <w:rPr>
          <w:rFonts w:cs="Times New Roman"/>
          <w:b/>
          <w:bCs/>
          <w:spacing w:val="-3"/>
        </w:rPr>
        <w:t xml:space="preserve"> asignados de la partida </w:t>
      </w:r>
      <w:r w:rsidRPr="00C06204">
        <w:rPr>
          <w:rFonts w:cs="Times New Roman"/>
          <w:b/>
          <w:bCs/>
          <w:spacing w:val="-3"/>
        </w:rPr>
        <w:t>01.00.000.001.</w:t>
      </w:r>
      <w:r>
        <w:rPr>
          <w:rFonts w:cs="Times New Roman"/>
          <w:b/>
          <w:bCs/>
          <w:spacing w:val="-3"/>
        </w:rPr>
        <w:t>840104</w:t>
      </w:r>
      <w:r>
        <w:rPr>
          <w:rFonts w:cs="Times New Roman"/>
          <w:bCs/>
          <w:spacing w:val="-3"/>
        </w:rPr>
        <w:t xml:space="preserve"> correspondiente MAQUINARIA Y EQUIPOS</w:t>
      </w:r>
      <w:r>
        <w:rPr>
          <w:rFonts w:cs="Times New Roman"/>
          <w:lang w:val="es-ES"/>
        </w:rPr>
        <w:t xml:space="preserve">, con sujeción </w:t>
      </w:r>
      <w:r>
        <w:rPr>
          <w:rFonts w:cs="Times New Roman"/>
          <w:lang w:val="es-ES"/>
        </w:rPr>
        <w:tab/>
        <w:t>al Plan Anual de Contrataciones</w:t>
      </w:r>
    </w:p>
    <w:sectPr w:rsidR="00025E53" w:rsidSect="00025E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C3834"/>
    <w:rsid w:val="00025E53"/>
    <w:rsid w:val="002C3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834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val="es-EC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Paragraph">
    <w:name w:val="List Paragraph"/>
    <w:basedOn w:val="Normal"/>
    <w:rsid w:val="002C3834"/>
    <w:pPr>
      <w:spacing w:after="200" w:line="276" w:lineRule="auto"/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384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MFiallos</dc:creator>
  <cp:lastModifiedBy>MFiallos</cp:lastModifiedBy>
  <cp:revision>1</cp:revision>
  <dcterms:created xsi:type="dcterms:W3CDTF">2013-10-03T15:49:00Z</dcterms:created>
  <dcterms:modified xsi:type="dcterms:W3CDTF">2013-10-03T15:52:00Z</dcterms:modified>
</cp:coreProperties>
</file>