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C80" w:rsidRPr="000B66D6" w:rsidRDefault="00372E34" w:rsidP="000B66D6">
      <w:pPr>
        <w:suppressAutoHyphens/>
        <w:jc w:val="center"/>
        <w:rPr>
          <w:rFonts w:ascii="Arial" w:hAnsi="Arial" w:cs="Arial"/>
          <w:sz w:val="28"/>
          <w:szCs w:val="28"/>
        </w:rPr>
      </w:pPr>
      <w:r>
        <w:rPr>
          <w:rFonts w:ascii="Arial" w:hAnsi="Arial" w:cs="Arial"/>
          <w:sz w:val="28"/>
          <w:szCs w:val="28"/>
        </w:rPr>
        <w:t>ESPECIFICACIONES TECNICAS</w:t>
      </w:r>
    </w:p>
    <w:p w:rsidR="00D94C80" w:rsidRPr="00665005" w:rsidRDefault="00D94C80" w:rsidP="00B24A99">
      <w:pPr>
        <w:jc w:val="both"/>
        <w:rPr>
          <w:rFonts w:ascii="Arial" w:hAnsi="Arial" w:cs="Arial"/>
          <w:sz w:val="22"/>
          <w:szCs w:val="22"/>
        </w:rPr>
      </w:pPr>
    </w:p>
    <w:p w:rsidR="00D94C80" w:rsidRPr="00665005" w:rsidRDefault="00D94C80" w:rsidP="00B24A99">
      <w:pPr>
        <w:jc w:val="both"/>
        <w:rPr>
          <w:rFonts w:ascii="Arial" w:hAnsi="Arial" w:cs="Arial"/>
          <w:sz w:val="22"/>
          <w:szCs w:val="22"/>
        </w:rPr>
      </w:pPr>
    </w:p>
    <w:p w:rsidR="00D94C80" w:rsidRPr="00665005" w:rsidRDefault="00D94C80" w:rsidP="00B24A99">
      <w:pPr>
        <w:pStyle w:val="Ttulo9"/>
        <w:suppressAutoHyphens w:val="0"/>
        <w:jc w:val="both"/>
        <w:rPr>
          <w:bCs/>
          <w:spacing w:val="0"/>
          <w:sz w:val="22"/>
          <w:szCs w:val="22"/>
        </w:rPr>
      </w:pPr>
      <w:r w:rsidRPr="00665005">
        <w:rPr>
          <w:bCs/>
          <w:spacing w:val="0"/>
          <w:sz w:val="22"/>
          <w:szCs w:val="22"/>
        </w:rPr>
        <w:t xml:space="preserve">INFORMACIÓN TÉCNICA REQUERIDA PARA </w:t>
      </w:r>
      <w:smartTag w:uri="urn:schemas-microsoft-com:office:smarttags" w:element="PersonName">
        <w:smartTagPr>
          <w:attr w:name="ProductID" w:val="LA EJECUCIￓN DE"/>
        </w:smartTagPr>
        <w:r w:rsidRPr="00665005">
          <w:rPr>
            <w:bCs/>
            <w:spacing w:val="0"/>
            <w:sz w:val="22"/>
            <w:szCs w:val="22"/>
          </w:rPr>
          <w:t>LA EJECUCIÓN DE</w:t>
        </w:r>
      </w:smartTag>
      <w:r w:rsidRPr="00665005">
        <w:rPr>
          <w:bCs/>
          <w:spacing w:val="0"/>
          <w:sz w:val="22"/>
          <w:szCs w:val="22"/>
        </w:rPr>
        <w:t xml:space="preserve"> </w:t>
      </w:r>
      <w:smartTag w:uri="urn:schemas-microsoft-com:office:smarttags" w:element="PersonName">
        <w:smartTagPr>
          <w:attr w:name="ProductID" w:val="LA OBRA"/>
        </w:smartTagPr>
        <w:r w:rsidRPr="00665005">
          <w:rPr>
            <w:bCs/>
            <w:spacing w:val="0"/>
            <w:sz w:val="22"/>
            <w:szCs w:val="22"/>
          </w:rPr>
          <w:t>LA OBRA</w:t>
        </w:r>
      </w:smartTag>
    </w:p>
    <w:p w:rsidR="00D94C80" w:rsidRPr="00665005" w:rsidRDefault="00D94C80" w:rsidP="00B24A99">
      <w:pPr>
        <w:jc w:val="both"/>
        <w:rPr>
          <w:rFonts w:ascii="Arial" w:hAnsi="Arial" w:cs="Arial"/>
          <w:b/>
          <w:bCs/>
          <w:sz w:val="22"/>
          <w:szCs w:val="22"/>
        </w:rPr>
      </w:pPr>
    </w:p>
    <w:p w:rsidR="00D94C80" w:rsidRPr="00665005" w:rsidRDefault="00D94C80" w:rsidP="00B24A99">
      <w:pPr>
        <w:jc w:val="both"/>
        <w:rPr>
          <w:rFonts w:ascii="Arial" w:hAnsi="Arial" w:cs="Arial"/>
          <w:sz w:val="22"/>
          <w:szCs w:val="22"/>
        </w:rPr>
      </w:pPr>
    </w:p>
    <w:p w:rsidR="00D94C80" w:rsidRPr="00665005" w:rsidRDefault="00D94C80" w:rsidP="00B24A99">
      <w:pPr>
        <w:jc w:val="both"/>
        <w:rPr>
          <w:rFonts w:ascii="Arial" w:hAnsi="Arial" w:cs="Arial"/>
          <w:b/>
          <w:bCs/>
          <w:sz w:val="22"/>
          <w:szCs w:val="22"/>
        </w:rPr>
      </w:pPr>
    </w:p>
    <w:p w:rsidR="00D94C80" w:rsidRPr="00665005" w:rsidRDefault="00D94C80" w:rsidP="00B24A99">
      <w:pPr>
        <w:pStyle w:val="Textoindependiente3"/>
        <w:rPr>
          <w:b/>
          <w:bCs/>
          <w:sz w:val="22"/>
          <w:szCs w:val="22"/>
        </w:rPr>
      </w:pPr>
      <w:r w:rsidRPr="00665005">
        <w:rPr>
          <w:b/>
          <w:bCs/>
          <w:sz w:val="22"/>
          <w:szCs w:val="22"/>
        </w:rPr>
        <w:t>NORMAS PARA ADOQUINES</w:t>
      </w:r>
    </w:p>
    <w:p w:rsidR="00D94C80" w:rsidRPr="00665005" w:rsidRDefault="00D94C80" w:rsidP="00B24A99">
      <w:pPr>
        <w:pStyle w:val="Textoindependiente3"/>
        <w:rPr>
          <w:b/>
          <w:bCs/>
          <w:sz w:val="22"/>
          <w:szCs w:val="22"/>
        </w:rPr>
      </w:pPr>
    </w:p>
    <w:p w:rsidR="00D94C80" w:rsidRPr="00665005" w:rsidRDefault="00D94C80" w:rsidP="00B24A99">
      <w:pPr>
        <w:pStyle w:val="Textoindependiente3"/>
        <w:rPr>
          <w:b/>
          <w:bCs/>
          <w:sz w:val="22"/>
          <w:szCs w:val="22"/>
        </w:rPr>
      </w:pPr>
      <w:r w:rsidRPr="00665005">
        <w:rPr>
          <w:b/>
          <w:bCs/>
          <w:sz w:val="22"/>
          <w:szCs w:val="22"/>
        </w:rPr>
        <w:t>1. OBJETO</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p>
    <w:p w:rsidR="00D94C80" w:rsidRPr="00665005" w:rsidRDefault="00D94C80" w:rsidP="00B24A99">
      <w:pPr>
        <w:pStyle w:val="Textoindependiente3"/>
        <w:numPr>
          <w:ilvl w:val="1"/>
          <w:numId w:val="1"/>
        </w:numPr>
        <w:rPr>
          <w:sz w:val="22"/>
          <w:szCs w:val="22"/>
        </w:rPr>
      </w:pPr>
      <w:r w:rsidRPr="009D0334">
        <w:rPr>
          <w:sz w:val="22"/>
          <w:szCs w:val="22"/>
          <w:highlight w:val="cyan"/>
        </w:rPr>
        <w:t>Esta norma establece los procedimientos que deben seguirse para la extracción de muestras sobre las cuales deben realizarse las determinaciones que permitan establecer sus características</w:t>
      </w:r>
      <w:r w:rsidRPr="00665005">
        <w:rPr>
          <w:sz w:val="22"/>
          <w:szCs w:val="22"/>
        </w:rPr>
        <w:t>.</w:t>
      </w:r>
    </w:p>
    <w:p w:rsidR="00D94C80" w:rsidRPr="00665005" w:rsidRDefault="00D94C80" w:rsidP="00B24A99">
      <w:pPr>
        <w:pStyle w:val="Textoindependiente3"/>
        <w:rPr>
          <w:sz w:val="22"/>
          <w:szCs w:val="22"/>
        </w:rPr>
      </w:pPr>
    </w:p>
    <w:p w:rsidR="00D94C80" w:rsidRPr="00665005" w:rsidRDefault="00D94C80" w:rsidP="00B24A99">
      <w:pPr>
        <w:pStyle w:val="Textoindependiente3"/>
        <w:rPr>
          <w:b/>
          <w:sz w:val="22"/>
          <w:szCs w:val="22"/>
        </w:rPr>
      </w:pPr>
      <w:r w:rsidRPr="00665005">
        <w:rPr>
          <w:b/>
          <w:sz w:val="22"/>
          <w:szCs w:val="22"/>
        </w:rPr>
        <w:t>2. ALCANCE</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2.1 Esta norma es aplicable a cualquier tipo o forma de adoquín utilizados para tránsito ligero, pesado y peatonal.</w:t>
      </w:r>
    </w:p>
    <w:p w:rsidR="00D94C80" w:rsidRPr="00665005" w:rsidRDefault="00D94C80" w:rsidP="00B24A99">
      <w:pPr>
        <w:pStyle w:val="Textoindependiente3"/>
        <w:rPr>
          <w:sz w:val="22"/>
          <w:szCs w:val="22"/>
        </w:rPr>
      </w:pPr>
    </w:p>
    <w:p w:rsidR="00D94C80" w:rsidRPr="00665005" w:rsidRDefault="00D94C80" w:rsidP="00B24A99">
      <w:pPr>
        <w:pStyle w:val="Textoindependiente3"/>
        <w:rPr>
          <w:b/>
          <w:sz w:val="22"/>
          <w:szCs w:val="22"/>
        </w:rPr>
      </w:pPr>
      <w:r w:rsidRPr="00665005">
        <w:rPr>
          <w:b/>
          <w:sz w:val="22"/>
          <w:szCs w:val="22"/>
        </w:rPr>
        <w:t>3. PROCEDIMIENTO</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3.1 Instalaciones para el muestreo. El comprador o su representante tendrá acceso, siempre que ello sea razonable, al lugar donde se fabrican o almacenan los adoquines, con el propósito de someter a prueba, tan-lo los materiales como los adoquines </w:t>
      </w:r>
      <w:proofErr w:type="gramStart"/>
      <w:r w:rsidRPr="00665005">
        <w:rPr>
          <w:sz w:val="22"/>
          <w:szCs w:val="22"/>
        </w:rPr>
        <w:t>terminados</w:t>
      </w:r>
      <w:proofErr w:type="gramEnd"/>
      <w:r w:rsidRPr="00665005">
        <w:rPr>
          <w:sz w:val="22"/>
          <w:szCs w:val="22"/>
        </w:rPr>
        <w:t>, revisando, al mismo tiempo, el proceso de fabricación y marcado de los adoquines. El vendedor dará las facilidades necesarias para la revisión, pruebas, inspección y el marcado de los adoquines, antes de su entrega, ya que es necesario asegurarse que los adoquines cumplan con los requisitos especificados.</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3.2 Muestreo en movimiento. Siempre que sea factible, se tomarán las muestras mientras las unidades es</w:t>
      </w:r>
      <w:r w:rsidRPr="00665005">
        <w:rPr>
          <w:sz w:val="22"/>
          <w:szCs w:val="22"/>
        </w:rPr>
        <w:softHyphen/>
        <w:t>tán en movimiento, es decir, durante la carga o descarga. En este caso, se tomará, al azar, un adoquín de cada una de las diez secciones del pedido que se deberá probar, las cuales son aproximadamente iguales (ver Norma INEN 1 488).</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3.3 Muestreo de un lote. El lote o la parte designada del mismo, se dividirá en diez secciones, real o imagi</w:t>
      </w:r>
      <w:r w:rsidRPr="00665005">
        <w:rPr>
          <w:sz w:val="22"/>
          <w:szCs w:val="22"/>
        </w:rPr>
        <w:softHyphen/>
        <w:t xml:space="preserve">nariamente, y se lomará un adoquín, al azar, de cada sección. El patrón de muestreo acordado previamente será tal, que los adoquines se tomarán de la parte alta y de los lados de las secciones que sean accesibles, </w:t>
      </w:r>
      <w:proofErr w:type="spellStart"/>
      <w:r w:rsidRPr="00665005">
        <w:rPr>
          <w:sz w:val="22"/>
          <w:szCs w:val="22"/>
        </w:rPr>
        <w:t>asi</w:t>
      </w:r>
      <w:proofErr w:type="spellEnd"/>
      <w:r w:rsidRPr="00665005">
        <w:rPr>
          <w:sz w:val="22"/>
          <w:szCs w:val="22"/>
        </w:rPr>
        <w:t>' como de la parte interior de la pila. Cuando se necesitan dos o más muestras de diez adoquines, para re</w:t>
      </w:r>
      <w:r w:rsidRPr="00665005">
        <w:rPr>
          <w:sz w:val="22"/>
          <w:szCs w:val="22"/>
        </w:rPr>
        <w:softHyphen/>
        <w:t xml:space="preserve">presentar diferentes porciones de la pila, se </w:t>
      </w:r>
      <w:proofErr w:type="gramStart"/>
      <w:r w:rsidRPr="00665005">
        <w:rPr>
          <w:sz w:val="22"/>
          <w:szCs w:val="22"/>
        </w:rPr>
        <w:t>deberá</w:t>
      </w:r>
      <w:proofErr w:type="gramEnd"/>
      <w:r w:rsidRPr="00665005">
        <w:rPr>
          <w:sz w:val="22"/>
          <w:szCs w:val="22"/>
        </w:rPr>
        <w:t xml:space="preserve"> emplear el mismo procedimiento en cada determinado número de adoquines escogidos de la pila, representado por la muestra, quede claramente definido (ver Nor</w:t>
      </w:r>
      <w:r w:rsidRPr="00665005">
        <w:rPr>
          <w:sz w:val="22"/>
          <w:szCs w:val="22"/>
        </w:rPr>
        <w:softHyphen/>
        <w:t>ma INEN 1 488).</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3.4 Muestreo por parte del comprador. Para revisar las dimensiones establecidas en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1 488 y la resistencia estipulada en el mismo, el comprador puede tomar antes o inmediatamente después del en</w:t>
      </w:r>
      <w:r w:rsidRPr="00665005">
        <w:rPr>
          <w:sz w:val="22"/>
          <w:szCs w:val="22"/>
        </w:rPr>
        <w:softHyphen/>
        <w:t>vío, diez adoquines de muestra por cada pedido de 20 000 o menos. Para pedidos mayores de 20 000, se pueden tomar diez adoquines de muestra por cada pedido.</w:t>
      </w:r>
    </w:p>
    <w:p w:rsidR="00D94C80" w:rsidRPr="00665005" w:rsidRDefault="00D94C80" w:rsidP="00B24A99">
      <w:pPr>
        <w:pStyle w:val="Textoindependiente3"/>
        <w:rPr>
          <w:sz w:val="22"/>
          <w:szCs w:val="22"/>
        </w:rPr>
      </w:pPr>
    </w:p>
    <w:p w:rsidR="00D94C80" w:rsidRPr="00665005" w:rsidRDefault="00D94C80" w:rsidP="00B24A99">
      <w:pPr>
        <w:pStyle w:val="Textoindependiente3"/>
        <w:rPr>
          <w:b/>
          <w:bCs/>
          <w:sz w:val="22"/>
          <w:szCs w:val="22"/>
        </w:rPr>
      </w:pPr>
      <w:r w:rsidRPr="00665005">
        <w:rPr>
          <w:b/>
          <w:bCs/>
          <w:sz w:val="22"/>
          <w:szCs w:val="22"/>
        </w:rPr>
        <w:t>FABRICACIÓN</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Esta norma establece los requisitos necesarios para la fabricación de los adoquines de </w:t>
      </w:r>
      <w:r w:rsidRPr="00665005">
        <w:rPr>
          <w:sz w:val="22"/>
          <w:szCs w:val="22"/>
        </w:rPr>
        <w:lastRenderedPageBreak/>
        <w:t>hormigón, ya sean patentados o rectangulares, empleados en la pavimentación de áreas transitadas por vehículos y peatones,</w:t>
      </w:r>
    </w:p>
    <w:p w:rsidR="00D94C80" w:rsidRPr="00665005" w:rsidRDefault="00D94C80" w:rsidP="00B24A99">
      <w:pPr>
        <w:pStyle w:val="Textoindependiente3"/>
        <w:rPr>
          <w:sz w:val="22"/>
          <w:szCs w:val="22"/>
        </w:rPr>
      </w:pPr>
    </w:p>
    <w:p w:rsidR="00D94C80" w:rsidRPr="00665005" w:rsidRDefault="00D94C80" w:rsidP="00B24A99">
      <w:pPr>
        <w:pStyle w:val="Textoindependiente3"/>
        <w:rPr>
          <w:b/>
          <w:bCs/>
          <w:sz w:val="22"/>
          <w:szCs w:val="22"/>
        </w:rPr>
      </w:pPr>
      <w:r w:rsidRPr="00665005">
        <w:rPr>
          <w:b/>
          <w:bCs/>
          <w:sz w:val="22"/>
          <w:szCs w:val="22"/>
        </w:rPr>
        <w:t>2. REQUISITOS</w:t>
      </w:r>
      <w:proofErr w:type="gramStart"/>
      <w:r w:rsidRPr="00665005">
        <w:rPr>
          <w:b/>
          <w:bCs/>
          <w:sz w:val="22"/>
          <w:szCs w:val="22"/>
        </w:rPr>
        <w:t>,.</w:t>
      </w:r>
      <w:proofErr w:type="gramEnd"/>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2.1 Cemento. El cemento utilizado en la fabricación de adoquines para pavimentación, cumplirá con las especificaciones de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152.</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2.2 Áridos. El árido fino (es decir aquel material que pasa por una malla de </w:t>
      </w:r>
      <w:smartTag w:uri="urn:schemas-microsoft-com:office:smarttags" w:element="metricconverter">
        <w:smartTagPr>
          <w:attr w:name="ProductID" w:val="5 mm"/>
        </w:smartTagPr>
        <w:r w:rsidRPr="00665005">
          <w:rPr>
            <w:sz w:val="22"/>
            <w:szCs w:val="22"/>
          </w:rPr>
          <w:t>5 mm</w:t>
        </w:r>
      </w:smartTag>
      <w:r w:rsidRPr="00665005">
        <w:rPr>
          <w:sz w:val="22"/>
          <w:szCs w:val="22"/>
        </w:rPr>
        <w:t xml:space="preserve">) no debe contener más de 25°/o por masa de material soluble en ácidos, ya sea en la fracción retenida, o en la fracción que pasa por una malla de </w:t>
      </w:r>
      <w:smartTag w:uri="urn:schemas-microsoft-com:office:smarttags" w:element="metricconverter">
        <w:smartTagPr>
          <w:attr w:name="ProductID" w:val="600 mm"/>
        </w:smartTagPr>
        <w:r w:rsidRPr="00665005">
          <w:rPr>
            <w:sz w:val="22"/>
            <w:szCs w:val="22"/>
          </w:rPr>
          <w:t>600 mm</w:t>
        </w:r>
      </w:smartTag>
      <w:r w:rsidRPr="00665005">
        <w:rPr>
          <w:sz w:val="22"/>
          <w:szCs w:val="22"/>
        </w:rPr>
        <w:t>. El material soluble en ácidos se define como material que se disuelve en una so</w:t>
      </w:r>
      <w:r w:rsidRPr="00665005">
        <w:rPr>
          <w:sz w:val="22"/>
          <w:szCs w:val="22"/>
        </w:rPr>
        <w:softHyphen/>
        <w:t xml:space="preserve">lución estándar de ácido clorhídrico según la cantidad señalada en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1 487. Los áridos deben cumplir con las especificaciones de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872. El tamaño máximo nominal del árido no deberá ser mayor a 1/4 del espesor del adoquín.</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2.3 Cenizas volantes. Cuando se haga uso de cenizas volantes, éstas deberán satisfacer las especificaciones de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1 501. El contenido total de sulfato de la mezcla de hormigón, expresada como SÜ4 deberá exceder del 4°/o por masa do</w:t>
      </w:r>
      <w:proofErr w:type="gramStart"/>
      <w:r w:rsidRPr="00665005">
        <w:rPr>
          <w:sz w:val="22"/>
          <w:szCs w:val="22"/>
        </w:rPr>
        <w:t>,!</w:t>
      </w:r>
      <w:proofErr w:type="gramEnd"/>
      <w:r w:rsidRPr="00665005">
        <w:rPr>
          <w:sz w:val="22"/>
          <w:szCs w:val="22"/>
        </w:rPr>
        <w:t xml:space="preserve"> cemento. El contenido de sulfato se calculará de acuerdo al contenido de aquel elemento en el cemento, en los áridos (donde existe la posibilidad de aplicarlos) y en las cenizas volantes.</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2.4 Pigmentos. Cualquier pigmento en la coloración de adoquines deberá cumplir con </w:t>
      </w:r>
      <w:smartTag w:uri="urn:schemas-microsoft-com:office:smarttags" w:element="PersonName">
        <w:smartTagPr>
          <w:attr w:name="ProductID" w:val="la Norma BS"/>
        </w:smartTagPr>
        <w:r w:rsidRPr="00665005">
          <w:rPr>
            <w:sz w:val="22"/>
            <w:szCs w:val="22"/>
          </w:rPr>
          <w:t>la Norma BS</w:t>
        </w:r>
      </w:smartTag>
      <w:r w:rsidRPr="00665005">
        <w:rPr>
          <w:sz w:val="22"/>
          <w:szCs w:val="22"/>
        </w:rPr>
        <w:t xml:space="preserve"> 1 014 o similar, mientras no exista Norma INEN equivalente.</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2.5 Aditivos. Los aditivos no deberán tener ningún efecto nocivo en el hormigón.</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2.6 Acabados. El vendedor y el comprador o sus representantes, podrán llegar a un acuerdo en cuanto a acabados de superficies especiales; ahora bien, cualquier capa especial de la superficie se deberá fundir co</w:t>
      </w:r>
      <w:r w:rsidRPr="00665005">
        <w:rPr>
          <w:sz w:val="22"/>
          <w:szCs w:val="22"/>
        </w:rPr>
        <w:softHyphen/>
        <w:t>mo parte integral del adoquín. Por otra parte, todas las aristas deberán ser uniformes y estar limpias. Al hacer un pedido de productos coloreados, las personas antes referidas, acordarán el color deseado. A su vez, indicarán si el producto estará coloreado total o parcialmente.</w:t>
      </w:r>
    </w:p>
    <w:p w:rsidR="00D94C80" w:rsidRPr="00665005" w:rsidRDefault="00D94C80" w:rsidP="00B24A99">
      <w:pPr>
        <w:pStyle w:val="Textoindependiente3"/>
        <w:rPr>
          <w:sz w:val="22"/>
          <w:szCs w:val="22"/>
        </w:rPr>
      </w:pPr>
    </w:p>
    <w:p w:rsidR="00D94C80" w:rsidRPr="00665005" w:rsidRDefault="00D94C80" w:rsidP="00B24A99">
      <w:pPr>
        <w:pStyle w:val="Textoindependiente3"/>
        <w:rPr>
          <w:b/>
          <w:bCs/>
          <w:sz w:val="22"/>
          <w:szCs w:val="22"/>
        </w:rPr>
      </w:pPr>
      <w:r w:rsidRPr="00665005">
        <w:rPr>
          <w:b/>
          <w:bCs/>
          <w:sz w:val="22"/>
          <w:szCs w:val="22"/>
        </w:rPr>
        <w:t>MUESTRAS</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3.1 Muestreo para pruebas independientes. Cuando se decida que es necesario llevar a cabo pruebas inde</w:t>
      </w:r>
      <w:r w:rsidRPr="00665005">
        <w:rPr>
          <w:sz w:val="22"/>
          <w:szCs w:val="22"/>
        </w:rPr>
        <w:softHyphen/>
        <w:t>pendientes, se tomará una muestra al azar entre diez adoquines, la cual se marcará en presencia del vende</w:t>
      </w:r>
      <w:r w:rsidRPr="00665005">
        <w:rPr>
          <w:sz w:val="22"/>
          <w:szCs w:val="22"/>
        </w:rPr>
        <w:softHyphen/>
        <w:t>dor y del comprador, se efectuarán las pruebas independientes en un laboratorio calificado, escogido por ambas partes, cuyos resultados deberán aceptarse.</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3.2 Almacenamiento de las muestras. Los adoquines que se tomen como muestra deberán protegerse de daños y de cualquier tipo de contaminación hasta que se sometan a prueba.</w:t>
      </w:r>
    </w:p>
    <w:p w:rsidR="00D94C80" w:rsidRPr="00665005" w:rsidRDefault="00D94C80" w:rsidP="00B24A99">
      <w:pPr>
        <w:pStyle w:val="Textoindependiente3"/>
        <w:rPr>
          <w:sz w:val="22"/>
          <w:szCs w:val="22"/>
        </w:rPr>
      </w:pPr>
      <w:r w:rsidRPr="00665005">
        <w:rPr>
          <w:sz w:val="22"/>
          <w:szCs w:val="22"/>
        </w:rPr>
        <w:t xml:space="preserve">3.3 Resultado de la prueba. Si más de dos de los resultados obtenidos en las pruebas, no cumplen con los requisitos de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1 488, se considerará que el grupo de 20 000 adoquines, ya sea todo o parte del pedido, tampoco obedecerán dicha especificación, y si máximo dos de los resultados obtenidos en las pruebas no cumplen con las especificaciones de resistencia, se procederá a tomar otras 10 unidades de las secciones falladas, y si alguno de los resultados obtenidos de la prueba no cumple con los requisitos de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1 488, se rechazará esas secciones del lote fallado o de los lotes fallados en el primer muestreo. Si no están claramente identificadas las secciones, se efectuará el muestreo doble en todo el lote, y si alguno de los resultados </w:t>
      </w:r>
      <w:r w:rsidRPr="00665005">
        <w:rPr>
          <w:sz w:val="22"/>
          <w:szCs w:val="22"/>
        </w:rPr>
        <w:lastRenderedPageBreak/>
        <w:t xml:space="preserve">obtenidos en las pruebas no cumple con los requisitos de </w:t>
      </w:r>
      <w:smartTag w:uri="urn:schemas-microsoft-com:office:smarttags" w:element="PersonName">
        <w:smartTagPr>
          <w:attr w:name="ProductID" w:val="la Norma INEN"/>
        </w:smartTagPr>
        <w:r w:rsidRPr="00665005">
          <w:rPr>
            <w:sz w:val="22"/>
            <w:szCs w:val="22"/>
          </w:rPr>
          <w:t>la Norma INEN</w:t>
        </w:r>
      </w:smartTag>
      <w:r w:rsidRPr="00665005">
        <w:rPr>
          <w:sz w:val="22"/>
          <w:szCs w:val="22"/>
        </w:rPr>
        <w:t xml:space="preserve"> 1 488 se considerará que todo el lote no obedece a dicha especificación.</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3.4 Costo de las pruebas. A menos que se especifique lo contrario en el momento de firmar el pedido, el costo de las pruebas independientes se pagará como precisa a continuación:</w:t>
      </w:r>
    </w:p>
    <w:p w:rsidR="00D94C80" w:rsidRPr="00665005" w:rsidRDefault="00D94C80" w:rsidP="00B24A99">
      <w:pPr>
        <w:pStyle w:val="Textoindependiente3"/>
        <w:rPr>
          <w:sz w:val="22"/>
          <w:szCs w:val="22"/>
        </w:rPr>
      </w:pPr>
      <w:r w:rsidRPr="00665005">
        <w:rPr>
          <w:sz w:val="22"/>
          <w:szCs w:val="22"/>
        </w:rPr>
        <w:t>a)  por el vendedor, en caso de que los resultados muestren que los adoquines no cumplen con las especi</w:t>
      </w:r>
      <w:r w:rsidRPr="00665005">
        <w:rPr>
          <w:sz w:val="22"/>
          <w:szCs w:val="22"/>
        </w:rPr>
        <w:softHyphen/>
        <w:t>ficaciones.</w:t>
      </w:r>
    </w:p>
    <w:p w:rsidR="00D94C80" w:rsidRPr="00665005" w:rsidRDefault="00D94C80" w:rsidP="00B24A99">
      <w:pPr>
        <w:pStyle w:val="Textoindependiente3"/>
        <w:rPr>
          <w:sz w:val="22"/>
          <w:szCs w:val="22"/>
        </w:rPr>
      </w:pPr>
      <w:r w:rsidRPr="00665005">
        <w:rPr>
          <w:sz w:val="22"/>
          <w:szCs w:val="22"/>
        </w:rPr>
        <w:t>b) por el comprador, en caso de que los resultados muestren que los adoquines cumplen con las especi</w:t>
      </w:r>
      <w:r w:rsidRPr="00665005">
        <w:rPr>
          <w:sz w:val="22"/>
          <w:szCs w:val="22"/>
        </w:rPr>
        <w:softHyphen/>
        <w:t>ficaciones.</w:t>
      </w:r>
    </w:p>
    <w:p w:rsidR="00D94C80" w:rsidRPr="00665005" w:rsidRDefault="00D94C80" w:rsidP="00B24A99">
      <w:pPr>
        <w:pStyle w:val="Textoindependiente3"/>
        <w:rPr>
          <w:sz w:val="22"/>
          <w:szCs w:val="22"/>
        </w:rPr>
      </w:pPr>
    </w:p>
    <w:p w:rsidR="00D94C80" w:rsidRPr="00665005" w:rsidRDefault="00D94C80" w:rsidP="00B24A99">
      <w:pPr>
        <w:pStyle w:val="Textoindependiente3"/>
        <w:rPr>
          <w:b/>
          <w:bCs/>
          <w:sz w:val="22"/>
          <w:szCs w:val="22"/>
        </w:rPr>
      </w:pPr>
    </w:p>
    <w:p w:rsidR="00D94C80" w:rsidRPr="00665005" w:rsidRDefault="00D94C80" w:rsidP="00B24A99">
      <w:pPr>
        <w:pStyle w:val="Textoindependiente3"/>
        <w:rPr>
          <w:b/>
          <w:bCs/>
          <w:sz w:val="22"/>
          <w:szCs w:val="22"/>
        </w:rPr>
      </w:pPr>
      <w:r w:rsidRPr="00665005">
        <w:rPr>
          <w:b/>
          <w:bCs/>
          <w:sz w:val="22"/>
          <w:szCs w:val="22"/>
        </w:rPr>
        <w:t>Resistencia del adoquín</w:t>
      </w:r>
    </w:p>
    <w:p w:rsidR="00D94C80" w:rsidRPr="00665005" w:rsidRDefault="00D94C80" w:rsidP="00B24A99">
      <w:pPr>
        <w:pStyle w:val="Textoindependiente3"/>
        <w:rPr>
          <w:b/>
          <w:bCs/>
          <w:sz w:val="22"/>
          <w:szCs w:val="22"/>
        </w:rPr>
      </w:pPr>
    </w:p>
    <w:p w:rsidR="00D94C80" w:rsidRPr="00665005" w:rsidRDefault="00D94C80" w:rsidP="00B24A99">
      <w:pPr>
        <w:pStyle w:val="Textoindependiente3"/>
        <w:rPr>
          <w:sz w:val="22"/>
          <w:szCs w:val="22"/>
        </w:rPr>
      </w:pPr>
      <w:r w:rsidRPr="00665005">
        <w:rPr>
          <w:sz w:val="22"/>
          <w:szCs w:val="22"/>
        </w:rPr>
        <w:t xml:space="preserve">La resistencia a la compresión característica de los adoquines de la muestra cumplirá con </w:t>
      </w:r>
      <w:smartTag w:uri="urn:schemas-microsoft-com:office:smarttags" w:element="PersonName">
        <w:smartTagPr>
          <w:attr w:name="ProductID" w:val="la Tabla"/>
        </w:smartTagPr>
        <w:r w:rsidRPr="00665005">
          <w:rPr>
            <w:sz w:val="22"/>
            <w:szCs w:val="22"/>
          </w:rPr>
          <w:t>la Tabla</w:t>
        </w:r>
      </w:smartTag>
      <w:r w:rsidRPr="00665005">
        <w:rPr>
          <w:sz w:val="22"/>
          <w:szCs w:val="22"/>
        </w:rPr>
        <w:t xml:space="preserve"> 1. </w:t>
      </w:r>
    </w:p>
    <w:p w:rsidR="00D94C80" w:rsidRPr="00665005" w:rsidRDefault="00D94C80" w:rsidP="00B24A99">
      <w:pPr>
        <w:pStyle w:val="Textoindependiente3"/>
        <w:rPr>
          <w:sz w:val="22"/>
          <w:szCs w:val="22"/>
        </w:rPr>
      </w:pPr>
    </w:p>
    <w:p w:rsidR="00D94C80" w:rsidRPr="00665005" w:rsidRDefault="00D94C80" w:rsidP="00B24A99">
      <w:pPr>
        <w:pStyle w:val="Textoindependiente3"/>
        <w:rPr>
          <w:b/>
          <w:bCs/>
          <w:sz w:val="22"/>
          <w:szCs w:val="22"/>
        </w:rPr>
      </w:pPr>
      <w:r w:rsidRPr="00665005">
        <w:rPr>
          <w:b/>
          <w:bCs/>
          <w:sz w:val="22"/>
          <w:szCs w:val="22"/>
        </w:rPr>
        <w:t>Tabla 1. Clasificación de tránsito y tipo de adoquín.</w:t>
      </w:r>
    </w:p>
    <w:p w:rsidR="00D94C80" w:rsidRPr="00665005" w:rsidRDefault="00D94C80" w:rsidP="00B24A99">
      <w:pPr>
        <w:pStyle w:val="Textoindependiente3"/>
        <w:rPr>
          <w:b/>
          <w:bCs/>
          <w:sz w:val="22"/>
          <w:szCs w:val="22"/>
        </w:rPr>
      </w:pPr>
    </w:p>
    <w:tbl>
      <w:tblPr>
        <w:tblW w:w="9360" w:type="dxa"/>
        <w:tblInd w:w="40" w:type="dxa"/>
        <w:tblLayout w:type="fixed"/>
        <w:tblCellMar>
          <w:left w:w="40" w:type="dxa"/>
          <w:right w:w="40" w:type="dxa"/>
        </w:tblCellMar>
        <w:tblLook w:val="0000"/>
      </w:tblPr>
      <w:tblGrid>
        <w:gridCol w:w="1907"/>
        <w:gridCol w:w="1973"/>
        <w:gridCol w:w="1754"/>
        <w:gridCol w:w="1566"/>
        <w:gridCol w:w="2160"/>
      </w:tblGrid>
      <w:tr w:rsidR="00D94C80" w:rsidRPr="00665005" w:rsidTr="006C72A1">
        <w:trPr>
          <w:cantSplit/>
          <w:trHeight w:val="1413"/>
        </w:trPr>
        <w:tc>
          <w:tcPr>
            <w:tcW w:w="1907"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sz w:val="22"/>
                <w:szCs w:val="22"/>
              </w:rPr>
            </w:pPr>
            <w:r w:rsidRPr="00665005">
              <w:rPr>
                <w:sz w:val="22"/>
                <w:szCs w:val="22"/>
              </w:rPr>
              <w:t>Tipo de uso</w:t>
            </w: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tc>
        <w:tc>
          <w:tcPr>
            <w:tcW w:w="1973"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sz w:val="22"/>
                <w:szCs w:val="22"/>
              </w:rPr>
            </w:pPr>
            <w:r w:rsidRPr="00665005">
              <w:rPr>
                <w:sz w:val="22"/>
                <w:szCs w:val="22"/>
              </w:rPr>
              <w:t>No. de vehículos</w:t>
            </w:r>
          </w:p>
          <w:p w:rsidR="00D94C80" w:rsidRPr="00665005" w:rsidRDefault="00D94C80" w:rsidP="006C72A1">
            <w:pPr>
              <w:pStyle w:val="Textoindependiente3"/>
              <w:jc w:val="center"/>
              <w:rPr>
                <w:sz w:val="22"/>
                <w:szCs w:val="22"/>
              </w:rPr>
            </w:pPr>
            <w:r w:rsidRPr="00665005">
              <w:rPr>
                <w:sz w:val="22"/>
                <w:szCs w:val="22"/>
              </w:rPr>
              <w:t>por día mayores de 3t brutas</w:t>
            </w: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tc>
        <w:tc>
          <w:tcPr>
            <w:tcW w:w="1754"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sz w:val="22"/>
                <w:szCs w:val="22"/>
              </w:rPr>
            </w:pPr>
            <w:r w:rsidRPr="00665005">
              <w:rPr>
                <w:sz w:val="22"/>
                <w:szCs w:val="22"/>
              </w:rPr>
              <w:t>Equivalente total</w:t>
            </w:r>
          </w:p>
          <w:p w:rsidR="00D94C80" w:rsidRPr="00665005" w:rsidRDefault="00D94C80" w:rsidP="006C72A1">
            <w:pPr>
              <w:pStyle w:val="Textoindependiente3"/>
              <w:jc w:val="center"/>
              <w:rPr>
                <w:sz w:val="22"/>
                <w:szCs w:val="22"/>
              </w:rPr>
            </w:pPr>
            <w:r w:rsidRPr="00665005">
              <w:rPr>
                <w:sz w:val="22"/>
                <w:szCs w:val="22"/>
              </w:rPr>
              <w:t>de repeticiones de</w:t>
            </w:r>
          </w:p>
          <w:p w:rsidR="00D94C80" w:rsidRPr="00665005" w:rsidRDefault="00D94C80" w:rsidP="006C72A1">
            <w:pPr>
              <w:pStyle w:val="Textoindependiente3"/>
              <w:jc w:val="center"/>
              <w:rPr>
                <w:sz w:val="22"/>
                <w:szCs w:val="22"/>
              </w:rPr>
            </w:pPr>
            <w:r w:rsidRPr="00665005">
              <w:rPr>
                <w:sz w:val="22"/>
                <w:szCs w:val="22"/>
              </w:rPr>
              <w:t>eje estándar después de 20 años</w:t>
            </w:r>
          </w:p>
          <w:p w:rsidR="00D94C80" w:rsidRPr="00665005" w:rsidRDefault="00D94C80" w:rsidP="006C72A1">
            <w:pPr>
              <w:pStyle w:val="Textoindependiente3"/>
              <w:jc w:val="center"/>
              <w:rPr>
                <w:sz w:val="22"/>
                <w:szCs w:val="22"/>
              </w:rPr>
            </w:pPr>
            <w:r w:rsidRPr="00665005">
              <w:rPr>
                <w:sz w:val="22"/>
                <w:szCs w:val="22"/>
              </w:rPr>
              <w:t>de servicio</w:t>
            </w:r>
          </w:p>
        </w:tc>
        <w:tc>
          <w:tcPr>
            <w:tcW w:w="1566"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sz w:val="22"/>
                <w:szCs w:val="22"/>
              </w:rPr>
            </w:pPr>
            <w:r w:rsidRPr="00665005">
              <w:rPr>
                <w:sz w:val="22"/>
                <w:szCs w:val="22"/>
              </w:rPr>
              <w:t xml:space="preserve">Forma </w:t>
            </w:r>
          </w:p>
          <w:p w:rsidR="00D94C80" w:rsidRPr="00665005" w:rsidRDefault="00D94C80" w:rsidP="006C72A1">
            <w:pPr>
              <w:pStyle w:val="Textoindependiente3"/>
              <w:jc w:val="center"/>
              <w:rPr>
                <w:sz w:val="22"/>
                <w:szCs w:val="22"/>
              </w:rPr>
            </w:pPr>
            <w:r w:rsidRPr="00665005">
              <w:rPr>
                <w:sz w:val="22"/>
                <w:szCs w:val="22"/>
              </w:rPr>
              <w:t>recomendada</w:t>
            </w:r>
          </w:p>
          <w:p w:rsidR="00D94C80" w:rsidRPr="00665005" w:rsidRDefault="00D94C80" w:rsidP="006C72A1">
            <w:pPr>
              <w:pStyle w:val="Textoindependiente3"/>
              <w:jc w:val="center"/>
              <w:rPr>
                <w:sz w:val="22"/>
                <w:szCs w:val="22"/>
              </w:rPr>
            </w:pPr>
            <w:r w:rsidRPr="00665005">
              <w:rPr>
                <w:sz w:val="22"/>
                <w:szCs w:val="22"/>
              </w:rPr>
              <w:t>de adoquín</w:t>
            </w: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p w:rsidR="00D94C80" w:rsidRPr="00665005" w:rsidRDefault="00D94C80" w:rsidP="006C72A1">
            <w:pPr>
              <w:pStyle w:val="Textoindependiente3"/>
              <w:jc w:val="center"/>
              <w:rPr>
                <w:sz w:val="22"/>
                <w:szCs w:val="22"/>
              </w:rPr>
            </w:pPr>
          </w:p>
        </w:tc>
        <w:tc>
          <w:tcPr>
            <w:tcW w:w="2160"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sz w:val="22"/>
                <w:szCs w:val="22"/>
              </w:rPr>
            </w:pPr>
            <w:r w:rsidRPr="00665005">
              <w:rPr>
                <w:sz w:val="22"/>
                <w:szCs w:val="22"/>
              </w:rPr>
              <w:t>Resistencia</w:t>
            </w:r>
          </w:p>
          <w:p w:rsidR="00D94C80" w:rsidRPr="00665005" w:rsidRDefault="00D94C80" w:rsidP="006C72A1">
            <w:pPr>
              <w:pStyle w:val="Textoindependiente3"/>
              <w:jc w:val="center"/>
              <w:rPr>
                <w:sz w:val="22"/>
                <w:szCs w:val="22"/>
              </w:rPr>
            </w:pPr>
            <w:r w:rsidRPr="00665005">
              <w:rPr>
                <w:sz w:val="22"/>
                <w:szCs w:val="22"/>
              </w:rPr>
              <w:t>caracterís</w:t>
            </w:r>
            <w:r w:rsidRPr="00665005">
              <w:rPr>
                <w:sz w:val="22"/>
                <w:szCs w:val="22"/>
              </w:rPr>
              <w:softHyphen/>
              <w:t>tica (</w:t>
            </w:r>
            <w:proofErr w:type="spellStart"/>
            <w:r w:rsidRPr="00665005">
              <w:rPr>
                <w:sz w:val="22"/>
                <w:szCs w:val="22"/>
              </w:rPr>
              <w:t>MPa</w:t>
            </w:r>
            <w:proofErr w:type="spellEnd"/>
            <w:r w:rsidRPr="00665005">
              <w:rPr>
                <w:sz w:val="22"/>
                <w:szCs w:val="22"/>
              </w:rPr>
              <w:t>)</w:t>
            </w:r>
          </w:p>
          <w:p w:rsidR="00D94C80" w:rsidRPr="00665005" w:rsidRDefault="00D94C80" w:rsidP="006C72A1">
            <w:pPr>
              <w:pStyle w:val="Textoindependiente3"/>
              <w:jc w:val="center"/>
              <w:rPr>
                <w:sz w:val="22"/>
                <w:szCs w:val="22"/>
              </w:rPr>
            </w:pPr>
            <w:r w:rsidRPr="00665005">
              <w:rPr>
                <w:sz w:val="22"/>
                <w:szCs w:val="22"/>
              </w:rPr>
              <w:t>compresión a los 28</w:t>
            </w:r>
          </w:p>
          <w:p w:rsidR="00D94C80" w:rsidRPr="00665005" w:rsidRDefault="00D94C80" w:rsidP="006C72A1">
            <w:pPr>
              <w:pStyle w:val="Textoindependiente3"/>
              <w:jc w:val="center"/>
              <w:rPr>
                <w:sz w:val="22"/>
                <w:szCs w:val="22"/>
              </w:rPr>
            </w:pPr>
            <w:r w:rsidRPr="00665005">
              <w:rPr>
                <w:sz w:val="22"/>
                <w:szCs w:val="22"/>
              </w:rPr>
              <w:t>días</w:t>
            </w:r>
          </w:p>
        </w:tc>
      </w:tr>
      <w:tr w:rsidR="00D94C80" w:rsidRPr="00665005" w:rsidTr="006C72A1">
        <w:trPr>
          <w:trHeight w:hRule="exact" w:val="529"/>
        </w:trPr>
        <w:tc>
          <w:tcPr>
            <w:tcW w:w="1907"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rPr>
                <w:sz w:val="22"/>
                <w:szCs w:val="22"/>
              </w:rPr>
            </w:pPr>
            <w:r w:rsidRPr="00665005">
              <w:rPr>
                <w:sz w:val="22"/>
                <w:szCs w:val="22"/>
              </w:rPr>
              <w:t>Peatonal</w:t>
            </w:r>
          </w:p>
        </w:tc>
        <w:tc>
          <w:tcPr>
            <w:tcW w:w="1973"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0</w:t>
            </w:r>
          </w:p>
        </w:tc>
        <w:tc>
          <w:tcPr>
            <w:tcW w:w="1754"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0</w:t>
            </w:r>
          </w:p>
        </w:tc>
        <w:tc>
          <w:tcPr>
            <w:tcW w:w="1566"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A,B,C</w:t>
            </w:r>
          </w:p>
        </w:tc>
        <w:tc>
          <w:tcPr>
            <w:tcW w:w="2160"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(20)</w:t>
            </w:r>
          </w:p>
        </w:tc>
      </w:tr>
      <w:tr w:rsidR="00D94C80" w:rsidRPr="00665005" w:rsidTr="006C72A1">
        <w:trPr>
          <w:cantSplit/>
          <w:trHeight w:val="1175"/>
        </w:trPr>
        <w:tc>
          <w:tcPr>
            <w:tcW w:w="1907"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Estacionamiento y calles residenciales</w:t>
            </w:r>
          </w:p>
        </w:tc>
        <w:tc>
          <w:tcPr>
            <w:tcW w:w="1973"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0-150</w:t>
            </w:r>
          </w:p>
        </w:tc>
        <w:tc>
          <w:tcPr>
            <w:tcW w:w="1754"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0-4,5 x 105</w:t>
            </w:r>
          </w:p>
        </w:tc>
        <w:tc>
          <w:tcPr>
            <w:tcW w:w="1566"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A,B,C</w:t>
            </w:r>
          </w:p>
        </w:tc>
        <w:tc>
          <w:tcPr>
            <w:tcW w:w="2160"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(30)</w:t>
            </w:r>
          </w:p>
        </w:tc>
      </w:tr>
      <w:tr w:rsidR="00D94C80" w:rsidRPr="00665005" w:rsidTr="006C72A1">
        <w:trPr>
          <w:cantSplit/>
          <w:trHeight w:val="1275"/>
        </w:trPr>
        <w:tc>
          <w:tcPr>
            <w:tcW w:w="1907"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rPr>
                <w:sz w:val="22"/>
                <w:szCs w:val="22"/>
              </w:rPr>
            </w:pPr>
            <w:r w:rsidRPr="00665005">
              <w:rPr>
                <w:sz w:val="22"/>
                <w:szCs w:val="22"/>
              </w:rPr>
              <w:t>Caminos secundarios y calles prin</w:t>
            </w:r>
            <w:r w:rsidRPr="00665005">
              <w:rPr>
                <w:sz w:val="22"/>
                <w:szCs w:val="22"/>
              </w:rPr>
              <w:softHyphen/>
              <w:t>cipales</w:t>
            </w:r>
          </w:p>
        </w:tc>
        <w:tc>
          <w:tcPr>
            <w:tcW w:w="1973"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150-1 500</w:t>
            </w:r>
          </w:p>
        </w:tc>
        <w:tc>
          <w:tcPr>
            <w:tcW w:w="1754"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4,5xl05-4,5xl06</w:t>
            </w:r>
          </w:p>
        </w:tc>
        <w:tc>
          <w:tcPr>
            <w:tcW w:w="1566"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A</w:t>
            </w:r>
          </w:p>
        </w:tc>
        <w:tc>
          <w:tcPr>
            <w:tcW w:w="2160" w:type="dxa"/>
            <w:tcBorders>
              <w:top w:val="single" w:sz="6" w:space="0" w:color="auto"/>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(30)</w:t>
            </w:r>
          </w:p>
        </w:tc>
      </w:tr>
    </w:tbl>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Nota: 1 </w:t>
      </w:r>
      <w:proofErr w:type="spellStart"/>
      <w:r w:rsidRPr="00665005">
        <w:rPr>
          <w:sz w:val="22"/>
          <w:szCs w:val="22"/>
        </w:rPr>
        <w:t>MPa</w:t>
      </w:r>
      <w:proofErr w:type="spellEnd"/>
      <w:r w:rsidRPr="00665005">
        <w:rPr>
          <w:sz w:val="22"/>
          <w:szCs w:val="22"/>
        </w:rPr>
        <w:t>== 10 kg/cm2 aproximadamente.</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 xml:space="preserve">A fin de adaptar el efecto de la proporción espesor/ancho, del adoquín y la influencia de cualquier bisel o radio, aplicar </w:t>
      </w:r>
      <w:smartTag w:uri="urn:schemas-microsoft-com:office:smarttags" w:element="PersonName">
        <w:smartTagPr>
          <w:attr w:name="ProductID" w:val="la Tabla"/>
        </w:smartTagPr>
        <w:r w:rsidRPr="00665005">
          <w:rPr>
            <w:sz w:val="22"/>
            <w:szCs w:val="22"/>
          </w:rPr>
          <w:t>la Tabla</w:t>
        </w:r>
      </w:smartTag>
      <w:r w:rsidRPr="00665005">
        <w:rPr>
          <w:sz w:val="22"/>
          <w:szCs w:val="22"/>
        </w:rPr>
        <w:t xml:space="preserve"> 2 como factor de corrección para la resistencia a la compresión.</w:t>
      </w:r>
    </w:p>
    <w:p w:rsidR="00D94C80" w:rsidRPr="00665005" w:rsidRDefault="00D94C80" w:rsidP="00B24A99">
      <w:pPr>
        <w:pStyle w:val="Textoindependiente3"/>
        <w:rPr>
          <w:sz w:val="22"/>
          <w:szCs w:val="22"/>
        </w:rPr>
      </w:pPr>
    </w:p>
    <w:p w:rsidR="00D94C80" w:rsidRPr="00665005" w:rsidRDefault="00D94C80" w:rsidP="00B24A99">
      <w:pPr>
        <w:pStyle w:val="Textoindependiente3"/>
        <w:rPr>
          <w:b/>
          <w:bCs/>
          <w:sz w:val="22"/>
          <w:szCs w:val="22"/>
        </w:rPr>
      </w:pPr>
      <w:r w:rsidRPr="00665005">
        <w:rPr>
          <w:b/>
          <w:bCs/>
          <w:sz w:val="22"/>
          <w:szCs w:val="22"/>
        </w:rPr>
        <w:t>Tabla 2. Factores de corrección,</w:t>
      </w:r>
    </w:p>
    <w:p w:rsidR="00D94C80" w:rsidRPr="00665005" w:rsidRDefault="00D94C80" w:rsidP="00B24A99">
      <w:pPr>
        <w:pStyle w:val="Textoindependiente3"/>
        <w:rPr>
          <w:b/>
          <w:bCs/>
          <w:sz w:val="22"/>
          <w:szCs w:val="22"/>
        </w:rPr>
      </w:pPr>
    </w:p>
    <w:tbl>
      <w:tblPr>
        <w:tblW w:w="0" w:type="auto"/>
        <w:jc w:val="center"/>
        <w:tblInd w:w="40" w:type="dxa"/>
        <w:tblLayout w:type="fixed"/>
        <w:tblCellMar>
          <w:left w:w="40" w:type="dxa"/>
          <w:right w:w="40" w:type="dxa"/>
        </w:tblCellMar>
        <w:tblLook w:val="0000"/>
      </w:tblPr>
      <w:tblGrid>
        <w:gridCol w:w="2320"/>
        <w:gridCol w:w="1680"/>
        <w:gridCol w:w="1140"/>
      </w:tblGrid>
      <w:tr w:rsidR="00D94C80" w:rsidRPr="00665005" w:rsidTr="006C72A1">
        <w:trPr>
          <w:trHeight w:hRule="exact" w:val="380"/>
          <w:jc w:val="center"/>
        </w:trPr>
        <w:tc>
          <w:tcPr>
            <w:tcW w:w="2320" w:type="dxa"/>
            <w:tcBorders>
              <w:top w:val="single" w:sz="6" w:space="0" w:color="auto"/>
              <w:left w:val="single" w:sz="6" w:space="0" w:color="auto"/>
              <w:bottom w:val="nil"/>
              <w:right w:val="single" w:sz="6" w:space="0" w:color="auto"/>
            </w:tcBorders>
          </w:tcPr>
          <w:p w:rsidR="00D94C80" w:rsidRPr="00665005" w:rsidRDefault="00D94C80" w:rsidP="006C72A1">
            <w:pPr>
              <w:pStyle w:val="Textoindependiente3"/>
              <w:jc w:val="center"/>
              <w:rPr>
                <w:b/>
                <w:bCs/>
                <w:sz w:val="22"/>
                <w:szCs w:val="22"/>
              </w:rPr>
            </w:pPr>
            <w:r w:rsidRPr="00665005">
              <w:rPr>
                <w:b/>
                <w:bCs/>
                <w:sz w:val="22"/>
                <w:szCs w:val="22"/>
              </w:rPr>
              <w:t>Espesor del adoquín</w:t>
            </w:r>
          </w:p>
          <w:p w:rsidR="00D94C80" w:rsidRPr="00665005" w:rsidRDefault="00D94C80" w:rsidP="006C72A1">
            <w:pPr>
              <w:pStyle w:val="Textoindependiente3"/>
              <w:jc w:val="center"/>
              <w:rPr>
                <w:b/>
                <w:bCs/>
                <w:sz w:val="22"/>
                <w:szCs w:val="22"/>
              </w:rPr>
            </w:pPr>
          </w:p>
        </w:tc>
        <w:tc>
          <w:tcPr>
            <w:tcW w:w="2820" w:type="dxa"/>
            <w:gridSpan w:val="2"/>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b/>
                <w:bCs/>
                <w:sz w:val="22"/>
                <w:szCs w:val="22"/>
              </w:rPr>
            </w:pPr>
            <w:r w:rsidRPr="00665005">
              <w:rPr>
                <w:b/>
                <w:bCs/>
                <w:sz w:val="22"/>
                <w:szCs w:val="22"/>
              </w:rPr>
              <w:t>Tipo de adoquín</w:t>
            </w:r>
          </w:p>
          <w:p w:rsidR="00D94C80" w:rsidRPr="00665005" w:rsidRDefault="00D94C80" w:rsidP="006C72A1">
            <w:pPr>
              <w:pStyle w:val="Textoindependiente3"/>
              <w:jc w:val="center"/>
              <w:rPr>
                <w:b/>
                <w:bCs/>
                <w:sz w:val="22"/>
                <w:szCs w:val="22"/>
              </w:rPr>
            </w:pPr>
          </w:p>
        </w:tc>
      </w:tr>
      <w:tr w:rsidR="00D94C80" w:rsidRPr="00665005" w:rsidTr="006C72A1">
        <w:trPr>
          <w:trHeight w:hRule="exact" w:val="360"/>
          <w:jc w:val="center"/>
        </w:trPr>
        <w:tc>
          <w:tcPr>
            <w:tcW w:w="2320" w:type="dxa"/>
            <w:tcBorders>
              <w:top w:val="nil"/>
              <w:left w:val="single" w:sz="6" w:space="0" w:color="auto"/>
              <w:bottom w:val="single" w:sz="6" w:space="0" w:color="auto"/>
              <w:right w:val="single" w:sz="6" w:space="0" w:color="auto"/>
            </w:tcBorders>
          </w:tcPr>
          <w:p w:rsidR="00D94C80" w:rsidRPr="00665005" w:rsidRDefault="00D94C80" w:rsidP="006C72A1">
            <w:pPr>
              <w:pStyle w:val="Textoindependiente3"/>
              <w:jc w:val="center"/>
              <w:rPr>
                <w:b/>
                <w:bCs/>
                <w:sz w:val="22"/>
                <w:szCs w:val="22"/>
              </w:rPr>
            </w:pPr>
            <w:r w:rsidRPr="00665005">
              <w:rPr>
                <w:b/>
                <w:bCs/>
                <w:sz w:val="22"/>
                <w:szCs w:val="22"/>
              </w:rPr>
              <w:t>(</w:t>
            </w:r>
            <w:proofErr w:type="spellStart"/>
            <w:r w:rsidRPr="00665005">
              <w:rPr>
                <w:b/>
                <w:bCs/>
                <w:sz w:val="22"/>
                <w:szCs w:val="22"/>
              </w:rPr>
              <w:t>rnm</w:t>
            </w:r>
            <w:proofErr w:type="spellEnd"/>
            <w:r w:rsidRPr="00665005">
              <w:rPr>
                <w:b/>
                <w:bCs/>
                <w:sz w:val="22"/>
                <w:szCs w:val="22"/>
              </w:rPr>
              <w:t>)</w:t>
            </w:r>
          </w:p>
          <w:p w:rsidR="00D94C80" w:rsidRPr="00665005" w:rsidRDefault="00D94C80" w:rsidP="006C72A1">
            <w:pPr>
              <w:pStyle w:val="Textoindependiente3"/>
              <w:jc w:val="center"/>
              <w:rPr>
                <w:b/>
                <w:bCs/>
                <w:sz w:val="22"/>
                <w:szCs w:val="22"/>
              </w:rPr>
            </w:pPr>
          </w:p>
        </w:tc>
        <w:tc>
          <w:tcPr>
            <w:tcW w:w="1680"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b/>
                <w:bCs/>
                <w:sz w:val="22"/>
                <w:szCs w:val="22"/>
              </w:rPr>
            </w:pPr>
            <w:r w:rsidRPr="00665005">
              <w:rPr>
                <w:b/>
                <w:bCs/>
                <w:sz w:val="22"/>
                <w:szCs w:val="22"/>
              </w:rPr>
              <w:t>Liso</w:t>
            </w:r>
          </w:p>
          <w:p w:rsidR="00D94C80" w:rsidRPr="00665005" w:rsidRDefault="00D94C80" w:rsidP="006C72A1">
            <w:pPr>
              <w:pStyle w:val="Textoindependiente3"/>
              <w:jc w:val="center"/>
              <w:rPr>
                <w:b/>
                <w:bCs/>
                <w:sz w:val="22"/>
                <w:szCs w:val="22"/>
              </w:rPr>
            </w:pPr>
          </w:p>
        </w:tc>
        <w:tc>
          <w:tcPr>
            <w:tcW w:w="1140" w:type="dxa"/>
            <w:tcBorders>
              <w:top w:val="single" w:sz="6" w:space="0" w:color="auto"/>
              <w:left w:val="single" w:sz="6" w:space="0" w:color="auto"/>
              <w:bottom w:val="single" w:sz="6" w:space="0" w:color="auto"/>
              <w:right w:val="single" w:sz="6" w:space="0" w:color="auto"/>
            </w:tcBorders>
          </w:tcPr>
          <w:p w:rsidR="00D94C80" w:rsidRPr="00665005" w:rsidRDefault="00D94C80" w:rsidP="006C72A1">
            <w:pPr>
              <w:pStyle w:val="Textoindependiente3"/>
              <w:jc w:val="center"/>
              <w:rPr>
                <w:b/>
                <w:bCs/>
                <w:sz w:val="22"/>
                <w:szCs w:val="22"/>
              </w:rPr>
            </w:pPr>
            <w:r w:rsidRPr="00665005">
              <w:rPr>
                <w:b/>
                <w:bCs/>
                <w:sz w:val="22"/>
                <w:szCs w:val="22"/>
              </w:rPr>
              <w:t>Biselado</w:t>
            </w:r>
          </w:p>
          <w:p w:rsidR="00D94C80" w:rsidRPr="00665005" w:rsidRDefault="00D94C80" w:rsidP="006C72A1">
            <w:pPr>
              <w:pStyle w:val="Textoindependiente3"/>
              <w:jc w:val="center"/>
              <w:rPr>
                <w:b/>
                <w:bCs/>
                <w:sz w:val="22"/>
                <w:szCs w:val="22"/>
              </w:rPr>
            </w:pPr>
          </w:p>
        </w:tc>
      </w:tr>
      <w:tr w:rsidR="00D94C80" w:rsidRPr="00665005" w:rsidTr="006C72A1">
        <w:trPr>
          <w:trHeight w:hRule="exact" w:val="320"/>
          <w:jc w:val="center"/>
        </w:trPr>
        <w:tc>
          <w:tcPr>
            <w:tcW w:w="2320" w:type="dxa"/>
            <w:tcBorders>
              <w:top w:val="single" w:sz="6" w:space="0" w:color="auto"/>
              <w:left w:val="single" w:sz="6" w:space="0" w:color="auto"/>
              <w:bottom w:val="nil"/>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60</w:t>
            </w:r>
          </w:p>
          <w:p w:rsidR="00D94C80" w:rsidRPr="00665005" w:rsidRDefault="00D94C80" w:rsidP="006C72A1">
            <w:pPr>
              <w:pStyle w:val="Textoindependiente3"/>
              <w:jc w:val="center"/>
              <w:rPr>
                <w:sz w:val="22"/>
                <w:szCs w:val="22"/>
              </w:rPr>
            </w:pPr>
          </w:p>
        </w:tc>
        <w:tc>
          <w:tcPr>
            <w:tcW w:w="1680" w:type="dxa"/>
            <w:tcBorders>
              <w:top w:val="single" w:sz="6" w:space="0" w:color="auto"/>
              <w:left w:val="single" w:sz="6" w:space="0" w:color="auto"/>
              <w:bottom w:val="nil"/>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1,00</w:t>
            </w:r>
          </w:p>
          <w:p w:rsidR="00D94C80" w:rsidRPr="00665005" w:rsidRDefault="00D94C80" w:rsidP="006C72A1">
            <w:pPr>
              <w:pStyle w:val="Textoindependiente3"/>
              <w:jc w:val="center"/>
              <w:rPr>
                <w:sz w:val="22"/>
                <w:szCs w:val="22"/>
              </w:rPr>
            </w:pPr>
          </w:p>
        </w:tc>
        <w:tc>
          <w:tcPr>
            <w:tcW w:w="1140" w:type="dxa"/>
            <w:tcBorders>
              <w:top w:val="single" w:sz="6" w:space="0" w:color="auto"/>
              <w:left w:val="single" w:sz="6" w:space="0" w:color="auto"/>
              <w:bottom w:val="nil"/>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1,06</w:t>
            </w:r>
          </w:p>
          <w:p w:rsidR="00D94C80" w:rsidRPr="00665005" w:rsidRDefault="00D94C80" w:rsidP="006C72A1">
            <w:pPr>
              <w:pStyle w:val="Textoindependiente3"/>
              <w:jc w:val="center"/>
              <w:rPr>
                <w:sz w:val="22"/>
                <w:szCs w:val="22"/>
              </w:rPr>
            </w:pPr>
          </w:p>
        </w:tc>
      </w:tr>
      <w:tr w:rsidR="00D94C80" w:rsidRPr="00665005" w:rsidTr="006C72A1">
        <w:trPr>
          <w:trHeight w:hRule="exact" w:val="240"/>
          <w:jc w:val="center"/>
        </w:trPr>
        <w:tc>
          <w:tcPr>
            <w:tcW w:w="2320" w:type="dxa"/>
            <w:tcBorders>
              <w:top w:val="nil"/>
              <w:left w:val="single" w:sz="6" w:space="0" w:color="auto"/>
              <w:bottom w:val="nil"/>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80</w:t>
            </w:r>
          </w:p>
          <w:p w:rsidR="00D94C80" w:rsidRPr="00665005" w:rsidRDefault="00D94C80" w:rsidP="006C72A1">
            <w:pPr>
              <w:pStyle w:val="Textoindependiente3"/>
              <w:jc w:val="center"/>
              <w:rPr>
                <w:sz w:val="22"/>
                <w:szCs w:val="22"/>
              </w:rPr>
            </w:pPr>
          </w:p>
        </w:tc>
        <w:tc>
          <w:tcPr>
            <w:tcW w:w="1680" w:type="dxa"/>
            <w:tcBorders>
              <w:top w:val="nil"/>
              <w:left w:val="single" w:sz="6" w:space="0" w:color="auto"/>
              <w:bottom w:val="nil"/>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1,04</w:t>
            </w:r>
          </w:p>
          <w:p w:rsidR="00D94C80" w:rsidRPr="00665005" w:rsidRDefault="00D94C80" w:rsidP="006C72A1">
            <w:pPr>
              <w:pStyle w:val="Textoindependiente3"/>
              <w:jc w:val="center"/>
              <w:rPr>
                <w:sz w:val="22"/>
                <w:szCs w:val="22"/>
              </w:rPr>
            </w:pPr>
          </w:p>
        </w:tc>
        <w:tc>
          <w:tcPr>
            <w:tcW w:w="1140" w:type="dxa"/>
            <w:tcBorders>
              <w:top w:val="nil"/>
              <w:left w:val="single" w:sz="6" w:space="0" w:color="auto"/>
              <w:bottom w:val="nil"/>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1,11</w:t>
            </w:r>
          </w:p>
          <w:p w:rsidR="00D94C80" w:rsidRPr="00665005" w:rsidRDefault="00D94C80" w:rsidP="006C72A1">
            <w:pPr>
              <w:pStyle w:val="Textoindependiente3"/>
              <w:jc w:val="center"/>
              <w:rPr>
                <w:sz w:val="22"/>
                <w:szCs w:val="22"/>
              </w:rPr>
            </w:pPr>
          </w:p>
        </w:tc>
      </w:tr>
      <w:tr w:rsidR="00D94C80" w:rsidRPr="00665005" w:rsidTr="006C72A1">
        <w:trPr>
          <w:trHeight w:hRule="exact" w:val="440"/>
          <w:jc w:val="center"/>
        </w:trPr>
        <w:tc>
          <w:tcPr>
            <w:tcW w:w="2320" w:type="dxa"/>
            <w:tcBorders>
              <w:top w:val="nil"/>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100</w:t>
            </w:r>
          </w:p>
          <w:p w:rsidR="00D94C80" w:rsidRPr="00665005" w:rsidRDefault="00D94C80" w:rsidP="006C72A1">
            <w:pPr>
              <w:pStyle w:val="Textoindependiente3"/>
              <w:jc w:val="center"/>
              <w:rPr>
                <w:sz w:val="22"/>
                <w:szCs w:val="22"/>
              </w:rPr>
            </w:pPr>
          </w:p>
        </w:tc>
        <w:tc>
          <w:tcPr>
            <w:tcW w:w="1680" w:type="dxa"/>
            <w:tcBorders>
              <w:top w:val="nil"/>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1,08</w:t>
            </w:r>
          </w:p>
          <w:p w:rsidR="00D94C80" w:rsidRPr="00665005" w:rsidRDefault="00D94C80" w:rsidP="006C72A1">
            <w:pPr>
              <w:pStyle w:val="Textoindependiente3"/>
              <w:jc w:val="center"/>
              <w:rPr>
                <w:sz w:val="22"/>
                <w:szCs w:val="22"/>
              </w:rPr>
            </w:pPr>
          </w:p>
        </w:tc>
        <w:tc>
          <w:tcPr>
            <w:tcW w:w="1140" w:type="dxa"/>
            <w:tcBorders>
              <w:top w:val="nil"/>
              <w:left w:val="single" w:sz="6" w:space="0" w:color="auto"/>
              <w:bottom w:val="single" w:sz="6" w:space="0" w:color="auto"/>
              <w:right w:val="single" w:sz="6" w:space="0" w:color="auto"/>
            </w:tcBorders>
            <w:vAlign w:val="center"/>
          </w:tcPr>
          <w:p w:rsidR="00D94C80" w:rsidRPr="00665005" w:rsidRDefault="00D94C80" w:rsidP="006C72A1">
            <w:pPr>
              <w:pStyle w:val="Textoindependiente3"/>
              <w:jc w:val="center"/>
              <w:rPr>
                <w:sz w:val="22"/>
                <w:szCs w:val="22"/>
              </w:rPr>
            </w:pPr>
            <w:r w:rsidRPr="00665005">
              <w:rPr>
                <w:sz w:val="22"/>
                <w:szCs w:val="22"/>
              </w:rPr>
              <w:t>1,16</w:t>
            </w:r>
          </w:p>
          <w:p w:rsidR="00D94C80" w:rsidRPr="00665005" w:rsidRDefault="00D94C80" w:rsidP="006C72A1">
            <w:pPr>
              <w:pStyle w:val="Textoindependiente3"/>
              <w:jc w:val="center"/>
              <w:rPr>
                <w:sz w:val="22"/>
                <w:szCs w:val="22"/>
              </w:rPr>
            </w:pPr>
          </w:p>
        </w:tc>
      </w:tr>
    </w:tbl>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sz w:val="22"/>
          <w:szCs w:val="22"/>
        </w:rPr>
        <w:t>Certificado del fabricante. Con cierta regularidad, el fabricante vigilará que, en el momento de la entrega, los adoquines cumplan con los requisitos de estas especificaciones. Si el comprador lo requiere, po</w:t>
      </w:r>
      <w:r w:rsidRPr="00665005">
        <w:rPr>
          <w:sz w:val="22"/>
          <w:szCs w:val="22"/>
        </w:rPr>
        <w:softHyphen/>
        <w:t>drá solicitar un certificado de calidad al fabricante.</w:t>
      </w: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p>
    <w:p w:rsidR="00D94C80" w:rsidRPr="00665005" w:rsidRDefault="00D94C80" w:rsidP="00B24A99">
      <w:pPr>
        <w:pStyle w:val="Textoindependiente3"/>
        <w:rPr>
          <w:sz w:val="22"/>
          <w:szCs w:val="22"/>
        </w:rPr>
      </w:pPr>
      <w:r w:rsidRPr="00665005">
        <w:rPr>
          <w:b/>
          <w:sz w:val="22"/>
          <w:szCs w:val="22"/>
        </w:rPr>
        <w:t>Ensayos y Pruebas:</w:t>
      </w:r>
      <w:r w:rsidRPr="00665005">
        <w:rPr>
          <w:sz w:val="22"/>
          <w:szCs w:val="22"/>
        </w:rPr>
        <w:t xml:space="preserve"> Los materiales, el equipo que se incorporará en la obra,  sus accesorios y demás elementos destinados a la obra, serán sometidos a las pruebas y ensayos que se hayan indicado en las especificaciones, para verificar sus propiedades y características de conformidad con los requisitos y tolerancia permisibles, según el uso al cual han sido destinados. Los materiales, equipo, sus accesorios o elementos que no hayan sido aceptados por la fiscalización, por no cumplir con las condiciones requeridas, deben ser retirados del sitio de la obra y reemplazados a costo del contratista.</w:t>
      </w:r>
    </w:p>
    <w:p w:rsidR="00D94C80" w:rsidRPr="00665005" w:rsidRDefault="00D94C80" w:rsidP="00B24A99">
      <w:pPr>
        <w:widowControl/>
        <w:overflowPunct/>
        <w:jc w:val="both"/>
        <w:textAlignment w:val="auto"/>
        <w:rPr>
          <w:rFonts w:ascii="Verdana" w:hAnsi="Verdana" w:cs="Verdana"/>
          <w:sz w:val="22"/>
          <w:szCs w:val="22"/>
        </w:rPr>
      </w:pPr>
      <w:r w:rsidRPr="00665005">
        <w:rPr>
          <w:rFonts w:ascii="Arial" w:hAnsi="Arial" w:cs="Arial"/>
          <w:sz w:val="22"/>
          <w:szCs w:val="22"/>
        </w:rPr>
        <w:t>Las pruebas de laboratorio, pueden ser efectuadas, según el caso, en la obra o</w:t>
      </w:r>
      <w:r w:rsidRPr="00665005">
        <w:rPr>
          <w:sz w:val="22"/>
          <w:szCs w:val="22"/>
        </w:rPr>
        <w:t xml:space="preserve"> </w:t>
      </w:r>
      <w:r w:rsidRPr="00665005">
        <w:rPr>
          <w:rFonts w:ascii="Arial" w:hAnsi="Arial" w:cs="Arial"/>
          <w:sz w:val="22"/>
          <w:szCs w:val="22"/>
        </w:rPr>
        <w:t>en laboratorios del contratista, del fabricante o vendedor del material o de</w:t>
      </w:r>
      <w:r w:rsidRPr="00665005">
        <w:rPr>
          <w:sz w:val="22"/>
          <w:szCs w:val="22"/>
        </w:rPr>
        <w:t xml:space="preserve"> </w:t>
      </w:r>
      <w:r w:rsidRPr="00665005">
        <w:rPr>
          <w:rFonts w:ascii="Arial" w:hAnsi="Arial" w:cs="Arial"/>
          <w:sz w:val="22"/>
          <w:szCs w:val="22"/>
        </w:rPr>
        <w:t>terceros contratados para el efecto siempre en presencia del fiscalizador.</w:t>
      </w:r>
      <w:r w:rsidRPr="00665005">
        <w:rPr>
          <w:sz w:val="22"/>
          <w:szCs w:val="22"/>
        </w:rPr>
        <w:t xml:space="preserve"> </w:t>
      </w:r>
      <w:r w:rsidRPr="00665005">
        <w:rPr>
          <w:rFonts w:ascii="Arial" w:hAnsi="Arial" w:cs="Arial"/>
          <w:sz w:val="22"/>
          <w:szCs w:val="22"/>
        </w:rPr>
        <w:t xml:space="preserve">Los materiales que posean certificados en calidad del </w:t>
      </w:r>
      <w:proofErr w:type="spellStart"/>
      <w:r w:rsidRPr="00665005">
        <w:rPr>
          <w:rFonts w:ascii="Arial" w:hAnsi="Arial" w:cs="Arial"/>
          <w:sz w:val="22"/>
          <w:szCs w:val="22"/>
        </w:rPr>
        <w:t>lNEN</w:t>
      </w:r>
      <w:proofErr w:type="spellEnd"/>
      <w:r w:rsidRPr="00665005">
        <w:rPr>
          <w:rFonts w:ascii="Arial" w:hAnsi="Arial" w:cs="Arial"/>
          <w:sz w:val="22"/>
          <w:szCs w:val="22"/>
        </w:rPr>
        <w:t xml:space="preserve"> o su equivalente, no</w:t>
      </w:r>
      <w:r w:rsidRPr="00665005">
        <w:rPr>
          <w:sz w:val="22"/>
          <w:szCs w:val="22"/>
        </w:rPr>
        <w:t xml:space="preserve"> </w:t>
      </w:r>
      <w:r w:rsidRPr="00665005">
        <w:rPr>
          <w:rFonts w:ascii="Arial" w:hAnsi="Arial" w:cs="Arial"/>
          <w:sz w:val="22"/>
          <w:szCs w:val="22"/>
        </w:rPr>
        <w:t>requieren ser ensayados rutinariamente. Los costos de las pruebas y ensayos de</w:t>
      </w:r>
      <w:r w:rsidRPr="00665005">
        <w:rPr>
          <w:sz w:val="22"/>
          <w:szCs w:val="22"/>
        </w:rPr>
        <w:t xml:space="preserve"> </w:t>
      </w:r>
      <w:r w:rsidRPr="00665005">
        <w:rPr>
          <w:rFonts w:ascii="Verdana" w:hAnsi="Verdana" w:cs="Verdana"/>
          <w:sz w:val="22"/>
          <w:szCs w:val="22"/>
        </w:rPr>
        <w:t xml:space="preserve">laboratorio que se realicen, </w:t>
      </w:r>
      <w:r w:rsidRPr="00665005">
        <w:rPr>
          <w:rFonts w:ascii="Verdana" w:hAnsi="Verdana" w:cs="Verdana"/>
          <w:b/>
          <w:i/>
          <w:sz w:val="22"/>
          <w:szCs w:val="22"/>
          <w:u w:val="single"/>
        </w:rPr>
        <w:t>serán de cuenta del contratista</w:t>
      </w:r>
      <w:r w:rsidRPr="00665005">
        <w:rPr>
          <w:rFonts w:ascii="Verdana" w:hAnsi="Verdana" w:cs="Verdana"/>
          <w:sz w:val="22"/>
          <w:szCs w:val="22"/>
        </w:rPr>
        <w:t>. La fiscalización de ser necesario realizará oportunamente pruebas especiales y ensayos no previstos en las especificaciones, a costo del contratante.</w:t>
      </w:r>
    </w:p>
    <w:p w:rsidR="00D94C80" w:rsidRPr="00665005" w:rsidRDefault="00D94C80" w:rsidP="00B24A99">
      <w:pPr>
        <w:pStyle w:val="Textoindependiente3"/>
        <w:rPr>
          <w:sz w:val="22"/>
          <w:szCs w:val="22"/>
        </w:rPr>
      </w:pPr>
    </w:p>
    <w:p w:rsidR="00D94C80" w:rsidRDefault="00D94C80"/>
    <w:sectPr w:rsidR="00D94C80" w:rsidSect="00AB434B">
      <w:footerReference w:type="default" r:id="rId7"/>
      <w:pgSz w:w="11907" w:h="16839" w:code="9"/>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6D6" w:rsidRDefault="000B66D6" w:rsidP="000B66D6">
      <w:r>
        <w:separator/>
      </w:r>
    </w:p>
  </w:endnote>
  <w:endnote w:type="continuationSeparator" w:id="1">
    <w:p w:rsidR="000B66D6" w:rsidRDefault="000B66D6" w:rsidP="000B66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6D6" w:rsidRDefault="000B66D6">
    <w:pPr>
      <w:pStyle w:val="Piedepgina"/>
      <w:jc w:val="right"/>
    </w:pPr>
    <w:fldSimple w:instr=" PAGE   \* MERGEFORMAT ">
      <w:r w:rsidR="009D0334">
        <w:rPr>
          <w:noProof/>
        </w:rPr>
        <w:t>1</w:t>
      </w:r>
    </w:fldSimple>
  </w:p>
  <w:p w:rsidR="000B66D6" w:rsidRDefault="000B66D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6D6" w:rsidRDefault="000B66D6" w:rsidP="000B66D6">
      <w:r>
        <w:separator/>
      </w:r>
    </w:p>
  </w:footnote>
  <w:footnote w:type="continuationSeparator" w:id="1">
    <w:p w:rsidR="000B66D6" w:rsidRDefault="000B66D6" w:rsidP="000B66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FF0BFF"/>
    <w:multiLevelType w:val="multilevel"/>
    <w:tmpl w:val="D8D4F0C2"/>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4A99"/>
    <w:rsid w:val="000B66D6"/>
    <w:rsid w:val="001E5F55"/>
    <w:rsid w:val="002564C1"/>
    <w:rsid w:val="00372E34"/>
    <w:rsid w:val="00430CFD"/>
    <w:rsid w:val="00442B31"/>
    <w:rsid w:val="00490AE9"/>
    <w:rsid w:val="005B0F24"/>
    <w:rsid w:val="005C643C"/>
    <w:rsid w:val="00665005"/>
    <w:rsid w:val="006C72A1"/>
    <w:rsid w:val="00911718"/>
    <w:rsid w:val="009D0334"/>
    <w:rsid w:val="00AB434B"/>
    <w:rsid w:val="00B24A99"/>
    <w:rsid w:val="00D94C80"/>
    <w:rsid w:val="00EB43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C" w:eastAsia="es-EC"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A99"/>
    <w:pPr>
      <w:widowControl w:val="0"/>
      <w:overflowPunct w:val="0"/>
      <w:autoSpaceDE w:val="0"/>
      <w:autoSpaceDN w:val="0"/>
      <w:adjustRightInd w:val="0"/>
      <w:textAlignment w:val="baseline"/>
    </w:pPr>
    <w:rPr>
      <w:rFonts w:ascii="Courier New" w:eastAsia="Times New Roman" w:hAnsi="Courier New"/>
      <w:sz w:val="24"/>
      <w:lang w:val="es-ES" w:eastAsia="es-ES"/>
    </w:rPr>
  </w:style>
  <w:style w:type="paragraph" w:styleId="Ttulo9">
    <w:name w:val="heading 9"/>
    <w:basedOn w:val="Normal"/>
    <w:next w:val="Normal"/>
    <w:link w:val="Ttulo9Car"/>
    <w:uiPriority w:val="99"/>
    <w:qFormat/>
    <w:rsid w:val="00B24A99"/>
    <w:pPr>
      <w:keepNext/>
      <w:suppressAutoHyphens/>
      <w:jc w:val="center"/>
      <w:outlineLvl w:val="8"/>
    </w:pPr>
    <w:rPr>
      <w:rFonts w:ascii="Arial" w:hAnsi="Arial" w:cs="Arial"/>
      <w:b/>
      <w:spacing w:val="-6"/>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9"/>
    <w:locked/>
    <w:rsid w:val="00B24A99"/>
    <w:rPr>
      <w:rFonts w:ascii="Arial" w:hAnsi="Arial" w:cs="Arial"/>
      <w:b/>
      <w:spacing w:val="-6"/>
      <w:sz w:val="20"/>
      <w:szCs w:val="20"/>
      <w:lang w:val="es-ES_tradnl" w:eastAsia="es-ES"/>
    </w:rPr>
  </w:style>
  <w:style w:type="paragraph" w:styleId="Textoindependiente3">
    <w:name w:val="Body Text 3"/>
    <w:basedOn w:val="Normal"/>
    <w:link w:val="Textoindependiente3Car"/>
    <w:uiPriority w:val="99"/>
    <w:rsid w:val="00B24A99"/>
    <w:pPr>
      <w:tabs>
        <w:tab w:val="left" w:pos="0"/>
      </w:tabs>
      <w:suppressAutoHyphens/>
      <w:jc w:val="both"/>
    </w:pPr>
    <w:rPr>
      <w:rFonts w:ascii="Arial" w:hAnsi="Arial" w:cs="Arial"/>
      <w:iCs/>
      <w:spacing w:val="-2"/>
      <w:sz w:val="20"/>
    </w:rPr>
  </w:style>
  <w:style w:type="character" w:customStyle="1" w:styleId="Textoindependiente3Car">
    <w:name w:val="Texto independiente 3 Car"/>
    <w:basedOn w:val="Fuentedeprrafopredeter"/>
    <w:link w:val="Textoindependiente3"/>
    <w:uiPriority w:val="99"/>
    <w:locked/>
    <w:rsid w:val="00B24A99"/>
    <w:rPr>
      <w:rFonts w:ascii="Arial" w:hAnsi="Arial" w:cs="Arial"/>
      <w:iCs/>
      <w:spacing w:val="-2"/>
      <w:sz w:val="20"/>
      <w:szCs w:val="20"/>
      <w:lang w:val="es-ES" w:eastAsia="es-ES"/>
    </w:rPr>
  </w:style>
  <w:style w:type="paragraph" w:styleId="Encabezado">
    <w:name w:val="header"/>
    <w:basedOn w:val="Normal"/>
    <w:link w:val="EncabezadoCar"/>
    <w:uiPriority w:val="99"/>
    <w:semiHidden/>
    <w:unhideWhenUsed/>
    <w:rsid w:val="000B66D6"/>
    <w:pPr>
      <w:tabs>
        <w:tab w:val="center" w:pos="4419"/>
        <w:tab w:val="right" w:pos="8838"/>
      </w:tabs>
    </w:pPr>
  </w:style>
  <w:style w:type="character" w:customStyle="1" w:styleId="EncabezadoCar">
    <w:name w:val="Encabezado Car"/>
    <w:basedOn w:val="Fuentedeprrafopredeter"/>
    <w:link w:val="Encabezado"/>
    <w:uiPriority w:val="99"/>
    <w:semiHidden/>
    <w:rsid w:val="000B66D6"/>
    <w:rPr>
      <w:rFonts w:ascii="Courier New" w:eastAsia="Times New Roman" w:hAnsi="Courier New"/>
      <w:sz w:val="24"/>
      <w:szCs w:val="20"/>
      <w:lang w:val="es-ES" w:eastAsia="es-ES"/>
    </w:rPr>
  </w:style>
  <w:style w:type="paragraph" w:styleId="Piedepgina">
    <w:name w:val="footer"/>
    <w:basedOn w:val="Normal"/>
    <w:link w:val="PiedepginaCar"/>
    <w:uiPriority w:val="99"/>
    <w:unhideWhenUsed/>
    <w:rsid w:val="000B66D6"/>
    <w:pPr>
      <w:tabs>
        <w:tab w:val="center" w:pos="4419"/>
        <w:tab w:val="right" w:pos="8838"/>
      </w:tabs>
    </w:pPr>
  </w:style>
  <w:style w:type="character" w:customStyle="1" w:styleId="PiedepginaCar">
    <w:name w:val="Pie de página Car"/>
    <w:basedOn w:val="Fuentedeprrafopredeter"/>
    <w:link w:val="Piedepgina"/>
    <w:uiPriority w:val="99"/>
    <w:rsid w:val="000B66D6"/>
    <w:rPr>
      <w:rFonts w:ascii="Courier New" w:eastAsia="Times New Roman" w:hAnsi="Courier New"/>
      <w:sz w:val="24"/>
      <w:szCs w:val="20"/>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1358</Words>
  <Characters>7469</Characters>
  <Application>Microsoft Office Word</Application>
  <DocSecurity>0</DocSecurity>
  <Lines>62</Lines>
  <Paragraphs>17</Paragraphs>
  <ScaleCrop>false</ScaleCrop>
  <Company> </Company>
  <LinksUpToDate>false</LinksUpToDate>
  <CharactersWithSpaces>8810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VALVERDE</dc:creator>
  <cp:keywords/>
  <dc:description/>
  <cp:lastModifiedBy>ARTURO VALVERDE</cp:lastModifiedBy>
  <cp:revision>3</cp:revision>
  <dcterms:created xsi:type="dcterms:W3CDTF">2008-10-17T04:17:00Z</dcterms:created>
  <dcterms:modified xsi:type="dcterms:W3CDTF">2008-10-17T04:18:00Z</dcterms:modified>
</cp:coreProperties>
</file>