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r>
        <w:rPr>
          <w:rFonts w:ascii="Arial" w:hAnsi="Arial" w:cs="Arial"/>
          <w:b/>
          <w:bCs/>
          <w:sz w:val="22"/>
          <w:szCs w:val="22"/>
        </w:rPr>
        <w:t>GOBIERNO PROVINCIAL DEL CARCHI</w:t>
      </w:r>
    </w:p>
    <w:p w:rsidR="00EC1AFA" w:rsidRDefault="00EC1AFA" w:rsidP="00EC1AFA">
      <w:pPr>
        <w:jc w:val="center"/>
        <w:rPr>
          <w:rFonts w:ascii="Arial" w:hAnsi="Arial" w:cs="Arial"/>
          <w:b/>
          <w:bCs/>
          <w:sz w:val="22"/>
          <w:szCs w:val="22"/>
          <w:lang w:val="pt-PT"/>
        </w:rPr>
      </w:pPr>
    </w:p>
    <w:p w:rsidR="00EC1AFA" w:rsidRDefault="00EC1AFA" w:rsidP="00EC1AFA">
      <w:pPr>
        <w:jc w:val="center"/>
        <w:rPr>
          <w:rFonts w:ascii="Arial" w:hAnsi="Arial" w:cs="Arial"/>
          <w:b/>
          <w:bCs/>
          <w:sz w:val="22"/>
          <w:szCs w:val="22"/>
          <w:lang w:val="pt-PT"/>
        </w:rPr>
      </w:pPr>
    </w:p>
    <w:p w:rsidR="00EC1AFA" w:rsidRDefault="00EC1AFA" w:rsidP="00EC1AFA">
      <w:pPr>
        <w:jc w:val="center"/>
        <w:rPr>
          <w:rFonts w:ascii="Arial" w:hAnsi="Arial" w:cs="Arial"/>
          <w:b/>
          <w:bCs/>
          <w:sz w:val="22"/>
          <w:szCs w:val="22"/>
          <w:lang w:val="pt-PT"/>
        </w:rPr>
      </w:pPr>
    </w:p>
    <w:p w:rsidR="00EC1AFA" w:rsidRDefault="00EC1AFA" w:rsidP="00EC1AFA">
      <w:pPr>
        <w:jc w:val="center"/>
        <w:rPr>
          <w:rFonts w:ascii="Arial" w:hAnsi="Arial" w:cs="Arial"/>
          <w:b/>
          <w:bCs/>
          <w:sz w:val="22"/>
          <w:szCs w:val="22"/>
          <w:lang w:val="pt-PT"/>
        </w:rPr>
      </w:pPr>
      <w:r>
        <w:rPr>
          <w:rFonts w:ascii="Arial" w:hAnsi="Arial" w:cs="Arial"/>
          <w:b/>
          <w:bCs/>
          <w:sz w:val="22"/>
          <w:szCs w:val="22"/>
          <w:lang w:val="pt-PT"/>
        </w:rPr>
        <w:t xml:space="preserve">PUBLICACION PARA LA ADQUISICION DE </w:t>
      </w:r>
    </w:p>
    <w:p w:rsidR="00EC1AFA" w:rsidRDefault="00EC1AFA" w:rsidP="00EC1AFA">
      <w:pPr>
        <w:jc w:val="center"/>
        <w:rPr>
          <w:rFonts w:ascii="Arial" w:hAnsi="Arial" w:cs="Arial"/>
          <w:b/>
          <w:bCs/>
          <w:sz w:val="22"/>
          <w:szCs w:val="22"/>
          <w:lang w:val="pt-PT"/>
        </w:rPr>
      </w:pPr>
      <w:r>
        <w:rPr>
          <w:rFonts w:ascii="Arial" w:hAnsi="Arial" w:cs="Arial"/>
          <w:b/>
          <w:bCs/>
          <w:sz w:val="22"/>
          <w:szCs w:val="22"/>
          <w:lang w:val="pt-PT"/>
        </w:rPr>
        <w:t xml:space="preserve">12 LLANTA 1100 X20 DCL </w:t>
      </w:r>
      <w:r>
        <w:rPr>
          <w:rFonts w:ascii="Arial" w:hAnsi="Arial" w:cs="Arial"/>
          <w:b/>
          <w:sz w:val="22"/>
          <w:szCs w:val="22"/>
          <w:lang w:val="es-ES"/>
        </w:rPr>
        <w:t>18 PR</w:t>
      </w:r>
    </w:p>
    <w:p w:rsidR="00EC1AFA" w:rsidRDefault="00EC1AFA" w:rsidP="00EC1AFA">
      <w:pPr>
        <w:tabs>
          <w:tab w:val="left" w:pos="3594"/>
        </w:tabs>
        <w:rPr>
          <w:rFonts w:ascii="Arial" w:hAnsi="Arial" w:cs="Arial"/>
          <w:b/>
          <w:bCs/>
          <w:sz w:val="22"/>
          <w:szCs w:val="22"/>
          <w:lang w:val="pt-PT"/>
        </w:rPr>
      </w:pPr>
      <w:r>
        <w:rPr>
          <w:rFonts w:ascii="Arial" w:hAnsi="Arial" w:cs="Arial"/>
          <w:b/>
          <w:bCs/>
          <w:sz w:val="22"/>
          <w:szCs w:val="22"/>
          <w:lang w:val="pt-PT"/>
        </w:rPr>
        <w:tab/>
      </w:r>
    </w:p>
    <w:p w:rsidR="00EC1AFA" w:rsidRDefault="00EC1AFA" w:rsidP="00EC1AFA">
      <w:pPr>
        <w:jc w:val="center"/>
        <w:rPr>
          <w:rFonts w:ascii="Arial" w:hAnsi="Arial" w:cs="Arial"/>
          <w:b/>
          <w:bCs/>
          <w:sz w:val="22"/>
          <w:szCs w:val="22"/>
          <w:lang w:val="pt-PT"/>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r>
        <w:rPr>
          <w:rFonts w:ascii="Arial" w:hAnsi="Arial" w:cs="Arial"/>
          <w:b/>
          <w:bCs/>
          <w:sz w:val="22"/>
          <w:szCs w:val="22"/>
        </w:rPr>
        <w:t>TULCAN– ECUADOR</w:t>
      </w: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rPr>
          <w:rFonts w:ascii="Arial" w:hAnsi="Arial" w:cs="Arial"/>
          <w:b/>
          <w:bCs/>
          <w:sz w:val="22"/>
          <w:szCs w:val="22"/>
        </w:rPr>
      </w:pPr>
    </w:p>
    <w:p w:rsidR="00EC1AFA" w:rsidRDefault="00EC1AFA" w:rsidP="00EC1AFA">
      <w:pPr>
        <w:rPr>
          <w:rFonts w:ascii="Arial" w:hAnsi="Arial" w:cs="Arial"/>
          <w:b/>
          <w:bCs/>
          <w:sz w:val="22"/>
          <w:szCs w:val="22"/>
        </w:rPr>
      </w:pPr>
    </w:p>
    <w:p w:rsidR="00EC1AFA" w:rsidRDefault="00EC1AFA" w:rsidP="00EC1AFA">
      <w:pPr>
        <w:jc w:val="center"/>
        <w:rPr>
          <w:rFonts w:ascii="Arial" w:hAnsi="Arial" w:cs="Arial"/>
          <w:b/>
          <w:bCs/>
          <w:sz w:val="22"/>
          <w:szCs w:val="22"/>
        </w:rPr>
      </w:pPr>
      <w:r>
        <w:rPr>
          <w:rFonts w:ascii="Arial" w:hAnsi="Arial" w:cs="Arial"/>
          <w:b/>
          <w:bCs/>
          <w:sz w:val="22"/>
          <w:szCs w:val="22"/>
        </w:rPr>
        <w:t>PUBLICACION. No. CP-GPC-008</w:t>
      </w: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r>
        <w:rPr>
          <w:rFonts w:ascii="Arial" w:hAnsi="Arial" w:cs="Arial"/>
          <w:b/>
          <w:bCs/>
          <w:sz w:val="22"/>
          <w:szCs w:val="22"/>
        </w:rPr>
        <w:lastRenderedPageBreak/>
        <w:t>SECCION 1</w:t>
      </w:r>
    </w:p>
    <w:p w:rsidR="00EC1AFA" w:rsidRDefault="00EC1AFA" w:rsidP="00EC1AFA">
      <w:pPr>
        <w:jc w:val="center"/>
        <w:rPr>
          <w:rFonts w:ascii="Arial" w:hAnsi="Arial" w:cs="Arial"/>
          <w:b/>
          <w:bCs/>
          <w:sz w:val="22"/>
          <w:szCs w:val="22"/>
        </w:rPr>
      </w:pPr>
    </w:p>
    <w:p w:rsidR="00EC1AFA" w:rsidRDefault="00EC1AFA" w:rsidP="00EC1AFA">
      <w:pPr>
        <w:jc w:val="center"/>
        <w:rPr>
          <w:rFonts w:ascii="Arial" w:hAnsi="Arial" w:cs="Arial"/>
          <w:b/>
          <w:bCs/>
          <w:sz w:val="22"/>
          <w:szCs w:val="22"/>
        </w:rPr>
      </w:pPr>
      <w:r>
        <w:rPr>
          <w:rFonts w:ascii="Arial" w:hAnsi="Arial" w:cs="Arial"/>
          <w:b/>
          <w:bCs/>
          <w:sz w:val="22"/>
          <w:szCs w:val="22"/>
        </w:rPr>
        <w:t>CONVOCATORIA</w:t>
      </w:r>
    </w:p>
    <w:p w:rsidR="00EC1AFA" w:rsidRDefault="00EC1AFA" w:rsidP="00EC1AFA">
      <w:pPr>
        <w:jc w:val="both"/>
        <w:rPr>
          <w:rFonts w:ascii="Arial" w:hAnsi="Arial" w:cs="Arial"/>
          <w:sz w:val="22"/>
          <w:szCs w:val="22"/>
        </w:rPr>
      </w:pPr>
    </w:p>
    <w:p w:rsidR="00EC1AFA" w:rsidRDefault="00EC1AFA" w:rsidP="00EC1AFA">
      <w:pPr>
        <w:jc w:val="both"/>
        <w:rPr>
          <w:rFonts w:ascii="Arial" w:hAnsi="Arial" w:cs="Arial"/>
          <w:sz w:val="22"/>
          <w:szCs w:val="22"/>
        </w:rPr>
      </w:pPr>
      <w:r>
        <w:rPr>
          <w:rFonts w:ascii="Arial" w:hAnsi="Arial" w:cs="Arial"/>
          <w:sz w:val="22"/>
          <w:szCs w:val="22"/>
        </w:rPr>
        <w:t>Se convoca a las personas naturales y jurídicas, domiciliadas en este país y legalmente capacitadas para comercializar SUMINISTROS AUTOMOTRICES  - LLANTAS que se encuentren debidamente inscritas en el Registro Único de Proveedores y que fueren calificadas y habilitadas, a que presenten sus ofertas dentro del proceso de publicación, para la provisión de lo siguiente:</w:t>
      </w:r>
    </w:p>
    <w:p w:rsidR="00EC1AFA" w:rsidRDefault="00EC1AFA" w:rsidP="00EC1AFA">
      <w:pPr>
        <w:jc w:val="both"/>
        <w:rPr>
          <w:rFonts w:ascii="Arial" w:hAnsi="Arial" w:cs="Arial"/>
          <w:b/>
          <w:sz w:val="22"/>
          <w:szCs w:val="22"/>
        </w:rPr>
      </w:pPr>
    </w:p>
    <w:p w:rsidR="00EC1AFA" w:rsidRDefault="00EC1AFA" w:rsidP="00EC1AFA">
      <w:pPr>
        <w:jc w:val="both"/>
        <w:rPr>
          <w:rFonts w:ascii="Arial" w:hAnsi="Arial" w:cs="Arial"/>
          <w:b/>
          <w:sz w:val="22"/>
          <w:szCs w:val="22"/>
        </w:rPr>
      </w:pPr>
    </w:p>
    <w:p w:rsidR="00EC1AFA" w:rsidRDefault="00EC1AFA" w:rsidP="00EC1AFA">
      <w:pPr>
        <w:jc w:val="center"/>
        <w:rPr>
          <w:rFonts w:ascii="Arial" w:hAnsi="Arial" w:cs="Arial"/>
          <w:b/>
          <w:bCs/>
          <w:sz w:val="22"/>
          <w:szCs w:val="22"/>
          <w:lang w:val="pt-PT"/>
        </w:rPr>
      </w:pPr>
      <w:r>
        <w:rPr>
          <w:rFonts w:ascii="Arial" w:hAnsi="Arial" w:cs="Arial"/>
          <w:b/>
          <w:sz w:val="22"/>
          <w:szCs w:val="22"/>
          <w:lang w:val="es-ES"/>
        </w:rPr>
        <w:t xml:space="preserve">ADQUISICIÓN DE </w:t>
      </w:r>
      <w:r>
        <w:rPr>
          <w:rFonts w:ascii="Arial" w:hAnsi="Arial" w:cs="Arial"/>
          <w:b/>
          <w:bCs/>
          <w:sz w:val="22"/>
          <w:szCs w:val="22"/>
          <w:lang w:val="pt-PT"/>
        </w:rPr>
        <w:t xml:space="preserve">12 LLANTA 1100 X20 DCL </w:t>
      </w:r>
      <w:r>
        <w:rPr>
          <w:rFonts w:ascii="Arial" w:hAnsi="Arial" w:cs="Arial"/>
          <w:b/>
          <w:sz w:val="22"/>
          <w:szCs w:val="22"/>
          <w:lang w:val="es-ES"/>
        </w:rPr>
        <w:t>18 PR</w:t>
      </w:r>
    </w:p>
    <w:p w:rsidR="00EC1AFA" w:rsidRPr="00F31A7F" w:rsidRDefault="00EC1AFA" w:rsidP="00EC1AFA">
      <w:pPr>
        <w:jc w:val="center"/>
        <w:rPr>
          <w:rFonts w:ascii="Arial" w:hAnsi="Arial" w:cs="Arial"/>
          <w:sz w:val="22"/>
          <w:szCs w:val="22"/>
          <w:lang w:val="pt-PT"/>
        </w:rPr>
      </w:pPr>
    </w:p>
    <w:p w:rsidR="00EC1AFA" w:rsidRDefault="00EC1AFA" w:rsidP="00EC1AFA">
      <w:pPr>
        <w:jc w:val="both"/>
        <w:rPr>
          <w:rFonts w:ascii="Arial" w:hAnsi="Arial" w:cs="Arial"/>
          <w:sz w:val="22"/>
          <w:szCs w:val="22"/>
        </w:rPr>
      </w:pPr>
      <w:r>
        <w:rPr>
          <w:rFonts w:ascii="Arial" w:hAnsi="Arial" w:cs="Arial"/>
          <w:sz w:val="22"/>
          <w:szCs w:val="22"/>
        </w:rPr>
        <w:t>El presupuesto referencial institucional para este proceso adquisitivo es de USD. 3500 (TRES MIL QUINIENTOS CON 00/100 DOLARES).</w:t>
      </w:r>
    </w:p>
    <w:p w:rsidR="00EC1AFA" w:rsidRDefault="00EC1AFA" w:rsidP="00EC1AFA">
      <w:pPr>
        <w:jc w:val="both"/>
        <w:rPr>
          <w:rFonts w:ascii="Arial" w:hAnsi="Arial" w:cs="Arial"/>
          <w:sz w:val="22"/>
          <w:szCs w:val="22"/>
        </w:rPr>
      </w:pPr>
    </w:p>
    <w:p w:rsidR="00EC1AFA" w:rsidRDefault="00EC1AFA" w:rsidP="00EC1AFA">
      <w:pPr>
        <w:jc w:val="both"/>
        <w:rPr>
          <w:rFonts w:ascii="Arial" w:hAnsi="Arial" w:cs="Arial"/>
          <w:sz w:val="22"/>
          <w:szCs w:val="22"/>
        </w:rPr>
      </w:pPr>
      <w:r>
        <w:rPr>
          <w:rFonts w:ascii="Arial" w:hAnsi="Arial" w:cs="Arial"/>
          <w:sz w:val="22"/>
          <w:szCs w:val="22"/>
        </w:rPr>
        <w:t>Las condiciones generales de esta convocatoria son las siguientes:</w:t>
      </w:r>
    </w:p>
    <w:p w:rsidR="00EC1AFA" w:rsidRDefault="00EC1AFA" w:rsidP="00EC1AFA">
      <w:pPr>
        <w:jc w:val="both"/>
        <w:rPr>
          <w:rFonts w:ascii="Arial" w:hAnsi="Arial" w:cs="Arial"/>
          <w:sz w:val="22"/>
          <w:szCs w:val="22"/>
        </w:rPr>
      </w:pPr>
    </w:p>
    <w:p w:rsidR="00EC1AFA" w:rsidRPr="00EC1AFA" w:rsidRDefault="00EC1AFA" w:rsidP="00EC1AFA">
      <w:pPr>
        <w:numPr>
          <w:ilvl w:val="0"/>
          <w:numId w:val="1"/>
        </w:numPr>
        <w:tabs>
          <w:tab w:val="clear" w:pos="2770"/>
          <w:tab w:val="left" w:pos="780"/>
        </w:tabs>
        <w:suppressAutoHyphens/>
        <w:ind w:left="360"/>
        <w:jc w:val="both"/>
        <w:rPr>
          <w:rFonts w:ascii="Arial" w:hAnsi="Arial" w:cs="Arial"/>
          <w:sz w:val="22"/>
          <w:szCs w:val="22"/>
          <w:lang w:val="es-ES_tradnl"/>
        </w:rPr>
      </w:pPr>
      <w:r w:rsidRPr="00EC1AFA">
        <w:rPr>
          <w:rFonts w:ascii="Arial" w:hAnsi="Arial" w:cs="Arial"/>
          <w:sz w:val="22"/>
          <w:szCs w:val="22"/>
        </w:rPr>
        <w:t xml:space="preserve">El pago se realizará por la totalidad de los equipos a ser adquiridos, de conformidad con las especificaciones técnicas de los documentos precontractuales, </w:t>
      </w:r>
      <w:r w:rsidRPr="00EC1AFA">
        <w:rPr>
          <w:rFonts w:ascii="Arial" w:hAnsi="Arial" w:cs="Arial"/>
          <w:sz w:val="22"/>
          <w:szCs w:val="22"/>
          <w:lang w:val="es-ES_tradnl"/>
        </w:rPr>
        <w:t xml:space="preserve">así como lo indicado en el proyecto de Contrato, </w:t>
      </w:r>
      <w:r w:rsidRPr="00EC1AFA">
        <w:rPr>
          <w:rFonts w:ascii="Arial" w:hAnsi="Arial" w:cs="Arial"/>
          <w:sz w:val="22"/>
          <w:szCs w:val="22"/>
        </w:rPr>
        <w:t xml:space="preserve">con fondos provenientes del presupuesto de </w:t>
      </w:r>
      <w:smartTag w:uri="urn:schemas-microsoft-com:office:smarttags" w:element="PersonName">
        <w:smartTagPr>
          <w:attr w:name="ProductID" w:val="la Instituci￳n"/>
        </w:smartTagPr>
        <w:r w:rsidRPr="00EC1AFA">
          <w:rPr>
            <w:rFonts w:ascii="Arial" w:hAnsi="Arial" w:cs="Arial"/>
            <w:sz w:val="22"/>
            <w:szCs w:val="22"/>
          </w:rPr>
          <w:t>la Institución</w:t>
        </w:r>
      </w:smartTag>
      <w:r w:rsidRPr="00EC1AFA">
        <w:rPr>
          <w:rFonts w:ascii="Arial" w:hAnsi="Arial" w:cs="Arial"/>
          <w:sz w:val="22"/>
          <w:szCs w:val="22"/>
        </w:rPr>
        <w:t>, con cargo a la partida presupuestaria de</w:t>
      </w:r>
      <w:r>
        <w:rPr>
          <w:rFonts w:ascii="Arial" w:hAnsi="Arial" w:cs="Arial"/>
          <w:sz w:val="22"/>
          <w:szCs w:val="22"/>
        </w:rPr>
        <w:t xml:space="preserve"> Repuestos y Accesorios.</w:t>
      </w:r>
    </w:p>
    <w:p w:rsidR="00EC1AFA" w:rsidRPr="00EC1AFA" w:rsidRDefault="00EC1AFA" w:rsidP="00EC1AFA">
      <w:pPr>
        <w:tabs>
          <w:tab w:val="left" w:pos="780"/>
        </w:tabs>
        <w:suppressAutoHyphens/>
        <w:ind w:left="360"/>
        <w:jc w:val="both"/>
        <w:rPr>
          <w:rFonts w:ascii="Arial" w:hAnsi="Arial" w:cs="Arial"/>
          <w:sz w:val="22"/>
          <w:szCs w:val="22"/>
          <w:lang w:val="es-ES_tradnl"/>
        </w:rPr>
      </w:pPr>
    </w:p>
    <w:p w:rsidR="00EC1AFA" w:rsidRDefault="00EC1AFA" w:rsidP="00EC1AFA">
      <w:pPr>
        <w:jc w:val="both"/>
        <w:rPr>
          <w:rFonts w:ascii="Arial" w:hAnsi="Arial" w:cs="Arial"/>
          <w:sz w:val="22"/>
          <w:szCs w:val="22"/>
          <w:lang w:val="es-ES_tradnl"/>
        </w:rPr>
      </w:pPr>
      <w:r>
        <w:rPr>
          <w:rFonts w:ascii="Arial" w:hAnsi="Arial" w:cs="Arial"/>
          <w:sz w:val="22"/>
          <w:szCs w:val="22"/>
        </w:rPr>
        <w:t xml:space="preserve">Los documentos precontractuales pueden obtenerse a través del portal de compras públicas </w:t>
      </w:r>
      <w:r>
        <w:rPr>
          <w:rFonts w:ascii="Arial" w:hAnsi="Arial" w:cs="Arial"/>
          <w:color w:val="0000FF"/>
          <w:sz w:val="22"/>
          <w:szCs w:val="22"/>
          <w:u w:val="single"/>
        </w:rPr>
        <w:t>www.compraspublicas.gov.ec</w:t>
      </w:r>
      <w:r>
        <w:rPr>
          <w:rFonts w:ascii="Arial" w:hAnsi="Arial" w:cs="Arial"/>
          <w:sz w:val="22"/>
          <w:szCs w:val="22"/>
        </w:rPr>
        <w:t xml:space="preserve">; sin perjuicio de que se lo haga en las oficinas administrativas del  </w:t>
      </w:r>
      <w:r w:rsidRPr="00EC1AFA">
        <w:rPr>
          <w:rFonts w:ascii="Arial" w:hAnsi="Arial" w:cs="Arial"/>
          <w:sz w:val="22"/>
          <w:szCs w:val="22"/>
        </w:rPr>
        <w:t>GOBIERNO PROVINCIAL DEL CARCHI</w:t>
      </w:r>
      <w:r>
        <w:rPr>
          <w:rFonts w:ascii="Arial" w:hAnsi="Arial" w:cs="Arial"/>
          <w:sz w:val="22"/>
          <w:szCs w:val="22"/>
        </w:rPr>
        <w:t>, 10 de Agosto entre Sucre y Olmedo</w:t>
      </w:r>
      <w:r>
        <w:rPr>
          <w:rFonts w:ascii="Arial" w:hAnsi="Arial" w:cs="Arial"/>
          <w:sz w:val="22"/>
          <w:szCs w:val="22"/>
          <w:lang w:val="es-ES_tradnl"/>
        </w:rPr>
        <w:t>, Edificio del Gobierno Provincial del Carchi, Parque Principal – Oficina de Proveeduría (Tulcán - Carchi)</w:t>
      </w:r>
    </w:p>
    <w:p w:rsidR="00EC1AFA" w:rsidRDefault="00EC1AFA" w:rsidP="00EC1AFA">
      <w:pPr>
        <w:suppressAutoHyphens/>
        <w:ind w:left="360"/>
        <w:jc w:val="both"/>
        <w:rPr>
          <w:rFonts w:ascii="Arial" w:hAnsi="Arial" w:cs="Arial"/>
          <w:sz w:val="22"/>
          <w:szCs w:val="22"/>
          <w:lang w:val="es-ES_tradnl"/>
        </w:rPr>
      </w:pPr>
    </w:p>
    <w:p w:rsidR="00EC1AFA" w:rsidRDefault="00EC1AFA" w:rsidP="00EC1AFA">
      <w:pPr>
        <w:numPr>
          <w:ilvl w:val="0"/>
          <w:numId w:val="1"/>
        </w:numPr>
        <w:tabs>
          <w:tab w:val="clear" w:pos="2770"/>
          <w:tab w:val="left" w:pos="780"/>
        </w:tabs>
        <w:suppressAutoHyphens/>
        <w:ind w:left="360"/>
        <w:jc w:val="both"/>
        <w:rPr>
          <w:rFonts w:ascii="Arial" w:hAnsi="Arial" w:cs="Arial"/>
          <w:sz w:val="22"/>
          <w:szCs w:val="22"/>
          <w:lang w:val="es-ES_tradnl"/>
        </w:rPr>
      </w:pPr>
      <w:r>
        <w:rPr>
          <w:rFonts w:ascii="Arial" w:hAnsi="Arial" w:cs="Arial"/>
          <w:sz w:val="22"/>
          <w:szCs w:val="22"/>
        </w:rPr>
        <w:t>A efectos de proceder a la notificación de aclaraciones, notificación de calificación y habilitación de participantes que intervienen en el proceso de subasta inversa electrónica, la correspondiente puja y notificación de adjudicación, deberán determinar el momento de presentar la documentación para calificación y habilitación, la dirección del correo electrónico correspondiente.</w:t>
      </w:r>
    </w:p>
    <w:p w:rsidR="00EC1AFA" w:rsidRDefault="00EC1AFA" w:rsidP="00EC1AFA">
      <w:pPr>
        <w:suppressAutoHyphens/>
        <w:ind w:left="360"/>
        <w:jc w:val="both"/>
        <w:rPr>
          <w:rFonts w:ascii="Arial" w:hAnsi="Arial" w:cs="Arial"/>
          <w:sz w:val="22"/>
          <w:szCs w:val="22"/>
          <w:lang w:val="es-ES_tradnl"/>
        </w:rPr>
      </w:pPr>
    </w:p>
    <w:p w:rsidR="00EC1AFA" w:rsidRDefault="00EC1AFA" w:rsidP="00EC1AFA">
      <w:pPr>
        <w:numPr>
          <w:ilvl w:val="0"/>
          <w:numId w:val="1"/>
        </w:numPr>
        <w:tabs>
          <w:tab w:val="clear" w:pos="2770"/>
          <w:tab w:val="left" w:pos="780"/>
        </w:tabs>
        <w:suppressAutoHyphens/>
        <w:ind w:left="360"/>
        <w:jc w:val="both"/>
        <w:rPr>
          <w:rFonts w:ascii="Arial" w:hAnsi="Arial" w:cs="Arial"/>
          <w:sz w:val="22"/>
          <w:szCs w:val="22"/>
          <w:lang w:val="es-ES_tradnl"/>
        </w:rPr>
      </w:pPr>
      <w:r>
        <w:rPr>
          <w:rFonts w:ascii="Arial" w:hAnsi="Arial" w:cs="Arial"/>
          <w:sz w:val="22"/>
          <w:szCs w:val="22"/>
          <w:lang w:val="es-ES_tradnl"/>
        </w:rPr>
        <w:t>L</w:t>
      </w:r>
      <w:r>
        <w:rPr>
          <w:rFonts w:ascii="Arial" w:hAnsi="Arial" w:cs="Arial"/>
          <w:sz w:val="22"/>
          <w:szCs w:val="22"/>
        </w:rPr>
        <w:t>a documentación deberá presentarse en la forma establecida en las instrucciones a los oferentes que constan en los documentos precontractuales, en forma previa a la calificación y  habilitación.</w:t>
      </w:r>
    </w:p>
    <w:p w:rsidR="00EC1AFA" w:rsidRDefault="00EC1AFA" w:rsidP="00EC1AFA">
      <w:pPr>
        <w:suppressAutoHyphens/>
        <w:ind w:left="360"/>
        <w:jc w:val="both"/>
        <w:rPr>
          <w:rFonts w:ascii="Arial" w:hAnsi="Arial" w:cs="Arial"/>
          <w:sz w:val="22"/>
          <w:szCs w:val="22"/>
          <w:lang w:val="es-ES_tradnl"/>
        </w:rPr>
      </w:pPr>
    </w:p>
    <w:p w:rsidR="00F630B2" w:rsidRDefault="00EC1AFA" w:rsidP="00F630B2">
      <w:pPr>
        <w:numPr>
          <w:ilvl w:val="0"/>
          <w:numId w:val="1"/>
        </w:numPr>
        <w:tabs>
          <w:tab w:val="clear" w:pos="2770"/>
          <w:tab w:val="left" w:pos="780"/>
        </w:tabs>
        <w:suppressAutoHyphens/>
        <w:ind w:left="360"/>
        <w:jc w:val="both"/>
        <w:rPr>
          <w:rFonts w:ascii="Arial" w:hAnsi="Arial" w:cs="Arial"/>
          <w:sz w:val="22"/>
          <w:szCs w:val="22"/>
        </w:rPr>
      </w:pPr>
      <w:r w:rsidRPr="00EC1AFA">
        <w:rPr>
          <w:rFonts w:ascii="Arial" w:hAnsi="Arial" w:cs="Arial"/>
          <w:sz w:val="22"/>
          <w:szCs w:val="22"/>
        </w:rPr>
        <w:t xml:space="preserve">La entrega de la propuesta técnica y la documentación para la calificación y habilitación de participantes se recibirá hasta el día martes 16 de Diciembre del 2008 a las 15:00, en sobres cerrados en </w:t>
      </w:r>
      <w:proofErr w:type="gramStart"/>
      <w:smartTag w:uri="urn:schemas-microsoft-com:office:smarttags" w:element="PersonName">
        <w:smartTagPr>
          <w:attr w:name="ProductID" w:val="la Oficinas"/>
        </w:smartTagPr>
        <w:r w:rsidRPr="00EC1AFA">
          <w:rPr>
            <w:rFonts w:ascii="Arial" w:hAnsi="Arial" w:cs="Arial"/>
            <w:sz w:val="22"/>
            <w:szCs w:val="22"/>
          </w:rPr>
          <w:t>la</w:t>
        </w:r>
        <w:proofErr w:type="gramEnd"/>
        <w:r w:rsidRPr="00EC1AFA">
          <w:rPr>
            <w:rFonts w:ascii="Arial" w:hAnsi="Arial" w:cs="Arial"/>
            <w:sz w:val="22"/>
            <w:szCs w:val="22"/>
          </w:rPr>
          <w:t xml:space="preserve"> Oficinas</w:t>
        </w:r>
      </w:smartTag>
      <w:r w:rsidRPr="00EC1AFA">
        <w:rPr>
          <w:rFonts w:ascii="Arial" w:hAnsi="Arial" w:cs="Arial"/>
          <w:sz w:val="22"/>
          <w:szCs w:val="22"/>
        </w:rPr>
        <w:t xml:space="preserve"> de </w:t>
      </w:r>
      <w:proofErr w:type="spellStart"/>
      <w:r w:rsidRPr="00EC1AFA">
        <w:rPr>
          <w:rFonts w:ascii="Arial" w:hAnsi="Arial" w:cs="Arial"/>
          <w:sz w:val="22"/>
          <w:szCs w:val="22"/>
        </w:rPr>
        <w:t>Proveduria</w:t>
      </w:r>
      <w:proofErr w:type="spellEnd"/>
      <w:r w:rsidRPr="00EC1AFA">
        <w:rPr>
          <w:rFonts w:ascii="Arial" w:hAnsi="Arial" w:cs="Arial"/>
          <w:sz w:val="22"/>
          <w:szCs w:val="22"/>
        </w:rPr>
        <w:t xml:space="preserve"> del Gobierno Provincial del Carchi</w:t>
      </w:r>
      <w:r>
        <w:rPr>
          <w:rFonts w:ascii="Arial" w:hAnsi="Arial" w:cs="Arial"/>
          <w:sz w:val="22"/>
          <w:szCs w:val="22"/>
        </w:rPr>
        <w:t>.</w:t>
      </w:r>
    </w:p>
    <w:p w:rsidR="00F630B2" w:rsidRDefault="00F630B2" w:rsidP="00F630B2">
      <w:pPr>
        <w:pStyle w:val="Prrafodelista"/>
        <w:rPr>
          <w:rFonts w:ascii="Arial" w:hAnsi="Arial" w:cs="Arial"/>
          <w:sz w:val="22"/>
          <w:szCs w:val="22"/>
        </w:rPr>
      </w:pPr>
    </w:p>
    <w:p w:rsidR="00EC1AFA" w:rsidRDefault="00F630B2" w:rsidP="00F630B2">
      <w:pPr>
        <w:tabs>
          <w:tab w:val="left" w:pos="780"/>
        </w:tabs>
        <w:suppressAutoHyphens/>
        <w:ind w:left="360"/>
        <w:jc w:val="both"/>
        <w:rPr>
          <w:rFonts w:ascii="Arial" w:hAnsi="Arial" w:cs="Arial"/>
          <w:sz w:val="22"/>
          <w:szCs w:val="22"/>
        </w:rPr>
      </w:pPr>
      <w:r>
        <w:rPr>
          <w:rFonts w:ascii="Arial" w:hAnsi="Arial" w:cs="Arial"/>
          <w:sz w:val="22"/>
          <w:szCs w:val="22"/>
        </w:rPr>
        <w:t xml:space="preserve"> </w:t>
      </w:r>
    </w:p>
    <w:p w:rsidR="00EC1AFA" w:rsidRDefault="00EC1AFA" w:rsidP="00EC1AFA">
      <w:pPr>
        <w:numPr>
          <w:ilvl w:val="0"/>
          <w:numId w:val="1"/>
        </w:numPr>
        <w:tabs>
          <w:tab w:val="clear" w:pos="2770"/>
          <w:tab w:val="left" w:pos="780"/>
        </w:tabs>
        <w:suppressAutoHyphens/>
        <w:ind w:left="360"/>
        <w:jc w:val="both"/>
        <w:rPr>
          <w:rFonts w:ascii="Arial" w:hAnsi="Arial" w:cs="Arial"/>
          <w:sz w:val="22"/>
          <w:szCs w:val="22"/>
          <w:lang w:val="es-ES_tradnl"/>
        </w:rPr>
      </w:pPr>
      <w:r>
        <w:rPr>
          <w:rFonts w:ascii="Arial" w:hAnsi="Arial" w:cs="Arial"/>
          <w:sz w:val="22"/>
          <w:szCs w:val="22"/>
        </w:rPr>
        <w:t xml:space="preserve">El procedimiento se ceñirá a las estipulaciones de </w:t>
      </w:r>
      <w:smartTag w:uri="urn:schemas-microsoft-com:office:smarttags" w:element="PersonName">
        <w:smartTagPr>
          <w:attr w:name="ProductID" w:val="A PARA MUÑECA￼￼ǊĈla Ley.ǎĈla OficinasǓĊLA PRESE"/>
        </w:smartTagPr>
        <w:r>
          <w:rPr>
            <w:rFonts w:ascii="Arial" w:hAnsi="Arial" w:cs="Arial"/>
            <w:sz w:val="22"/>
            <w:szCs w:val="22"/>
          </w:rPr>
          <w:t>la Ley Orgánica</w:t>
        </w:r>
      </w:smartTag>
      <w:r>
        <w:rPr>
          <w:rFonts w:ascii="Arial" w:hAnsi="Arial" w:cs="Arial"/>
          <w:sz w:val="22"/>
          <w:szCs w:val="22"/>
        </w:rPr>
        <w:t xml:space="preserve"> del Sistema Nacional de Compras Públicas y su Reglamento General de Aplicación, siendo facultad de </w:t>
      </w:r>
      <w:smartTag w:uri="urn:schemas-microsoft-com:office:smarttags" w:element="PersonName">
        <w:smartTagPr>
          <w:attr w:name="ProductID" w:val="la Instituci￳n"/>
        </w:smartTagPr>
        <w:r>
          <w:rPr>
            <w:rFonts w:ascii="Arial" w:hAnsi="Arial" w:cs="Arial"/>
            <w:sz w:val="22"/>
            <w:szCs w:val="22"/>
          </w:rPr>
          <w:t>la Institución</w:t>
        </w:r>
      </w:smartTag>
      <w:r>
        <w:rPr>
          <w:rFonts w:ascii="Arial" w:hAnsi="Arial" w:cs="Arial"/>
          <w:sz w:val="22"/>
          <w:szCs w:val="22"/>
        </w:rPr>
        <w:t xml:space="preserve"> proceder a cancelar el procedimiento hasta 24 horas antes del inicio de la subasta inversa electrónica, conforme al Art. 34 de dicha ley, o, declarar desierto el proceso, según el Art. 33 del mismo cuerpo legal, de así convenir a los intereses institucionales, sin que los participantes tengan derecho a reclamo o </w:t>
      </w:r>
      <w:r>
        <w:rPr>
          <w:rFonts w:ascii="Arial" w:hAnsi="Arial" w:cs="Arial"/>
          <w:sz w:val="22"/>
          <w:szCs w:val="22"/>
        </w:rPr>
        <w:lastRenderedPageBreak/>
        <w:t>indemnización alguna.</w:t>
      </w:r>
    </w:p>
    <w:p w:rsidR="00EC1AFA" w:rsidRDefault="00EC1AFA" w:rsidP="00EC1AFA">
      <w:pPr>
        <w:suppressAutoHyphens/>
        <w:ind w:left="360"/>
        <w:jc w:val="both"/>
        <w:rPr>
          <w:rFonts w:ascii="Arial" w:hAnsi="Arial" w:cs="Arial"/>
          <w:sz w:val="22"/>
          <w:szCs w:val="22"/>
          <w:lang w:val="es-ES_tradnl"/>
        </w:rPr>
      </w:pPr>
    </w:p>
    <w:p w:rsidR="00F630B2" w:rsidRDefault="00F630B2" w:rsidP="00EC1AFA">
      <w:pPr>
        <w:suppressAutoHyphens/>
        <w:ind w:left="360"/>
        <w:jc w:val="both"/>
        <w:rPr>
          <w:rFonts w:ascii="Arial" w:hAnsi="Arial" w:cs="Arial"/>
          <w:sz w:val="22"/>
          <w:szCs w:val="22"/>
          <w:lang w:val="es-ES_tradnl"/>
        </w:rPr>
      </w:pPr>
    </w:p>
    <w:p w:rsidR="00EC1AFA" w:rsidRDefault="00EC1AFA" w:rsidP="00EC1AFA">
      <w:pPr>
        <w:jc w:val="both"/>
        <w:rPr>
          <w:rFonts w:ascii="Arial" w:hAnsi="Arial" w:cs="Arial"/>
          <w:sz w:val="22"/>
          <w:szCs w:val="22"/>
        </w:rPr>
      </w:pPr>
    </w:p>
    <w:p w:rsidR="00EC1AFA" w:rsidRDefault="00EC1AFA" w:rsidP="00F630B2">
      <w:pPr>
        <w:rPr>
          <w:rFonts w:ascii="Arial" w:hAnsi="Arial" w:cs="Arial"/>
          <w:sz w:val="22"/>
          <w:szCs w:val="22"/>
        </w:rPr>
      </w:pPr>
      <w:r>
        <w:rPr>
          <w:rFonts w:ascii="Arial" w:hAnsi="Arial" w:cs="Arial"/>
          <w:sz w:val="22"/>
          <w:szCs w:val="22"/>
        </w:rPr>
        <w:t>Atentamente,</w:t>
      </w:r>
    </w:p>
    <w:p w:rsidR="00EC1AFA" w:rsidRDefault="00EC1AFA" w:rsidP="00EC1AFA">
      <w:pPr>
        <w:ind w:firstLine="708"/>
        <w:rPr>
          <w:rFonts w:ascii="Arial" w:hAnsi="Arial" w:cs="Arial"/>
          <w:sz w:val="22"/>
          <w:szCs w:val="22"/>
        </w:rPr>
      </w:pPr>
    </w:p>
    <w:p w:rsidR="00EC1AFA" w:rsidRDefault="00EC1AFA" w:rsidP="00EC1AFA">
      <w:pPr>
        <w:ind w:firstLine="708"/>
        <w:rPr>
          <w:rFonts w:ascii="Arial" w:hAnsi="Arial" w:cs="Arial"/>
          <w:sz w:val="22"/>
          <w:szCs w:val="22"/>
        </w:rPr>
      </w:pPr>
    </w:p>
    <w:p w:rsidR="00EC1AFA" w:rsidRDefault="00EC1AFA" w:rsidP="00EC1AFA">
      <w:pPr>
        <w:ind w:firstLine="708"/>
        <w:rPr>
          <w:rFonts w:ascii="Arial" w:hAnsi="Arial" w:cs="Arial"/>
          <w:sz w:val="22"/>
          <w:szCs w:val="22"/>
        </w:rPr>
      </w:pPr>
    </w:p>
    <w:p w:rsidR="00EC1AFA" w:rsidRDefault="00F630B2" w:rsidP="00F630B2">
      <w:pPr>
        <w:rPr>
          <w:rFonts w:ascii="Arial" w:hAnsi="Arial" w:cs="Arial"/>
          <w:b/>
          <w:sz w:val="22"/>
          <w:szCs w:val="22"/>
        </w:rPr>
      </w:pPr>
      <w:r>
        <w:rPr>
          <w:rFonts w:ascii="Arial" w:hAnsi="Arial" w:cs="Arial"/>
          <w:b/>
          <w:sz w:val="22"/>
          <w:szCs w:val="22"/>
        </w:rPr>
        <w:t>Econ. Diego Guerrero</w:t>
      </w:r>
    </w:p>
    <w:p w:rsidR="00F630B2" w:rsidRDefault="00F630B2" w:rsidP="00F630B2">
      <w:pPr>
        <w:rPr>
          <w:rFonts w:ascii="Arial" w:hAnsi="Arial" w:cs="Arial"/>
          <w:b/>
          <w:sz w:val="22"/>
          <w:szCs w:val="22"/>
        </w:rPr>
      </w:pPr>
      <w:r>
        <w:rPr>
          <w:rFonts w:ascii="Arial" w:hAnsi="Arial" w:cs="Arial"/>
          <w:b/>
          <w:sz w:val="22"/>
          <w:szCs w:val="22"/>
        </w:rPr>
        <w:t>SEC. COMISION DE ADQUISICIONES</w:t>
      </w:r>
    </w:p>
    <w:p w:rsidR="00EC1AFA" w:rsidRDefault="00F630B2" w:rsidP="00F630B2">
      <w:pPr>
        <w:rPr>
          <w:rFonts w:ascii="Arial" w:hAnsi="Arial" w:cs="Arial"/>
          <w:b/>
          <w:sz w:val="22"/>
          <w:szCs w:val="22"/>
        </w:rPr>
      </w:pPr>
      <w:r>
        <w:rPr>
          <w:rFonts w:ascii="Arial" w:hAnsi="Arial" w:cs="Arial"/>
          <w:b/>
          <w:sz w:val="22"/>
          <w:szCs w:val="22"/>
        </w:rPr>
        <w:t>GOBIERNO PROVINCIAL DEL CARCHI</w:t>
      </w:r>
    </w:p>
    <w:p w:rsidR="00EC1AFA" w:rsidRDefault="00EC1AFA" w:rsidP="00EC1AFA">
      <w:pPr>
        <w:rPr>
          <w:rFonts w:ascii="Arial" w:hAnsi="Arial" w:cs="Arial"/>
          <w:b/>
          <w:sz w:val="22"/>
          <w:szCs w:val="22"/>
        </w:rPr>
      </w:pPr>
    </w:p>
    <w:p w:rsidR="00EC1AFA" w:rsidRDefault="00EC1AFA" w:rsidP="00EC1AFA">
      <w:pPr>
        <w:rPr>
          <w:rFonts w:ascii="Arial" w:hAnsi="Arial" w:cs="Arial"/>
          <w:sz w:val="22"/>
          <w:szCs w:val="22"/>
        </w:rPr>
      </w:pPr>
    </w:p>
    <w:p w:rsidR="003A1601" w:rsidRDefault="003A1601"/>
    <w:sectPr w:rsidR="003A1601" w:rsidSect="003A1601">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1B798A"/>
    <w:multiLevelType w:val="hybridMultilevel"/>
    <w:tmpl w:val="E31E98D6"/>
    <w:lvl w:ilvl="0" w:tplc="0C0A000F">
      <w:start w:val="1"/>
      <w:numFmt w:val="decimal"/>
      <w:lvlText w:val="%1."/>
      <w:lvlJc w:val="left"/>
      <w:pPr>
        <w:tabs>
          <w:tab w:val="num" w:pos="2770"/>
        </w:tabs>
        <w:ind w:left="277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EC1AFA"/>
    <w:rsid w:val="003A1601"/>
    <w:rsid w:val="004E54BB"/>
    <w:rsid w:val="00EC1AFA"/>
    <w:rsid w:val="00F630B2"/>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AFA"/>
    <w:pPr>
      <w:widowControl w:val="0"/>
      <w:autoSpaceDE w:val="0"/>
      <w:autoSpaceDN w:val="0"/>
      <w:adjustRightInd w:val="0"/>
      <w:spacing w:after="0" w:line="240" w:lineRule="auto"/>
    </w:pPr>
    <w:rPr>
      <w:rFonts w:ascii="Arial Narrow" w:eastAsia="Times New Roman" w:hAnsi="Arial Narrow" w:cs="Times New Roman"/>
      <w:sz w:val="24"/>
      <w:szCs w:val="24"/>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C1AF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458</Words>
  <Characters>2524</Characters>
  <Application>Microsoft Office Word</Application>
  <DocSecurity>0</DocSecurity>
  <Lines>21</Lines>
  <Paragraphs>5</Paragraphs>
  <ScaleCrop>false</ScaleCrop>
  <Company/>
  <LinksUpToDate>false</LinksUpToDate>
  <CharactersWithSpaces>2977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dc:creator>
  <cp:lastModifiedBy>FERNANDO</cp:lastModifiedBy>
  <cp:revision>2</cp:revision>
  <dcterms:created xsi:type="dcterms:W3CDTF">2008-12-12T20:42:00Z</dcterms:created>
  <dcterms:modified xsi:type="dcterms:W3CDTF">2008-12-12T20:53:00Z</dcterms:modified>
</cp:coreProperties>
</file>