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5902" w:rsidRPr="002E3382" w:rsidRDefault="00DD5902" w:rsidP="00DD5902">
      <w:pPr>
        <w:pStyle w:val="Textoindependiente"/>
        <w:tabs>
          <w:tab w:val="left" w:pos="1985"/>
        </w:tabs>
        <w:jc w:val="center"/>
        <w:rPr>
          <w:rFonts w:ascii="Arial Narrow" w:hAnsi="Arial Narrow"/>
          <w:b/>
          <w:sz w:val="24"/>
        </w:rPr>
      </w:pPr>
      <w:r w:rsidRPr="002E3382">
        <w:rPr>
          <w:rFonts w:ascii="Arial Narrow" w:hAnsi="Arial Narrow"/>
          <w:b/>
          <w:sz w:val="24"/>
        </w:rPr>
        <w:t>C O N V O C A T O R I A</w:t>
      </w:r>
    </w:p>
    <w:p w:rsidR="00DD5902" w:rsidRPr="00307BF3" w:rsidRDefault="00DD5902" w:rsidP="00DD5902">
      <w:pPr>
        <w:pStyle w:val="Textoindependiente"/>
        <w:tabs>
          <w:tab w:val="left" w:pos="2325"/>
        </w:tabs>
        <w:rPr>
          <w:rFonts w:ascii="Arial Narrow" w:hAnsi="Arial Narrow"/>
          <w:sz w:val="22"/>
          <w:szCs w:val="22"/>
        </w:rPr>
      </w:pPr>
    </w:p>
    <w:p w:rsidR="00DD5902" w:rsidRPr="00226CA2" w:rsidRDefault="00DD5902" w:rsidP="00DD5902">
      <w:pPr>
        <w:pStyle w:val="Textoindependiente"/>
        <w:ind w:right="-427"/>
        <w:rPr>
          <w:rFonts w:ascii="Arial" w:hAnsi="Arial"/>
          <w:sz w:val="22"/>
          <w:szCs w:val="22"/>
        </w:rPr>
      </w:pPr>
      <w:r w:rsidRPr="00226CA2">
        <w:rPr>
          <w:rFonts w:ascii="Arial" w:hAnsi="Arial"/>
          <w:sz w:val="22"/>
          <w:szCs w:val="22"/>
        </w:rPr>
        <w:t xml:space="preserve">De </w:t>
      </w:r>
      <w:r>
        <w:rPr>
          <w:rFonts w:ascii="Arial" w:hAnsi="Arial"/>
          <w:sz w:val="22"/>
          <w:szCs w:val="22"/>
        </w:rPr>
        <w:t xml:space="preserve">conformidad con el Reglamento Interno de Contrataciones de la Universidad Nacional de Loja y por resolución </w:t>
      </w:r>
      <w:r w:rsidRPr="00226CA2">
        <w:rPr>
          <w:rFonts w:ascii="Arial" w:hAnsi="Arial"/>
          <w:sz w:val="22"/>
          <w:szCs w:val="22"/>
        </w:rPr>
        <w:t xml:space="preserve"> del Honorable Consejo Académico Administrativo Superior </w:t>
      </w:r>
      <w:r>
        <w:rPr>
          <w:rFonts w:ascii="Arial" w:hAnsi="Arial"/>
          <w:sz w:val="22"/>
          <w:szCs w:val="22"/>
        </w:rPr>
        <w:t xml:space="preserve"> de 16 de septiembre del 2008, el se</w:t>
      </w:r>
      <w:r w:rsidRPr="00226CA2">
        <w:rPr>
          <w:rFonts w:ascii="Arial" w:hAnsi="Arial"/>
          <w:sz w:val="22"/>
          <w:szCs w:val="22"/>
        </w:rPr>
        <w:t xml:space="preserve">ñor Rector como máxima Autoridad de la Universidad Nacional de Loja, convoca a personas naturales  y jurídicas </w:t>
      </w:r>
      <w:r>
        <w:rPr>
          <w:rFonts w:ascii="Arial" w:hAnsi="Arial"/>
          <w:sz w:val="22"/>
          <w:szCs w:val="22"/>
        </w:rPr>
        <w:t>con capacidad de contratar</w:t>
      </w:r>
      <w:r w:rsidRPr="00226CA2">
        <w:rPr>
          <w:rFonts w:ascii="Arial" w:hAnsi="Arial"/>
          <w:sz w:val="22"/>
          <w:szCs w:val="22"/>
        </w:rPr>
        <w:t xml:space="preserve">, para  que presenten sus ofertas  para la adquisición </w:t>
      </w:r>
      <w:r>
        <w:rPr>
          <w:rFonts w:ascii="Arial" w:hAnsi="Arial"/>
          <w:sz w:val="22"/>
          <w:szCs w:val="22"/>
        </w:rPr>
        <w:t xml:space="preserve"> de equipos para el Proyecto “</w:t>
      </w:r>
      <w:r w:rsidRPr="00A95C59">
        <w:rPr>
          <w:rFonts w:ascii="Arial" w:hAnsi="Arial"/>
          <w:b/>
          <w:sz w:val="22"/>
          <w:szCs w:val="22"/>
        </w:rPr>
        <w:t>PROPUESTA DE CREACIÓN DE UN LABORATORIO DE MECÁNICA DE ROCAS  Y SUELOS</w:t>
      </w:r>
      <w:r>
        <w:rPr>
          <w:rFonts w:ascii="Arial" w:hAnsi="Arial"/>
          <w:b/>
          <w:sz w:val="22"/>
          <w:szCs w:val="22"/>
        </w:rPr>
        <w:t>”</w:t>
      </w:r>
      <w:r w:rsidRPr="00226CA2">
        <w:rPr>
          <w:rFonts w:ascii="Arial" w:hAnsi="Arial"/>
          <w:sz w:val="22"/>
          <w:szCs w:val="22"/>
        </w:rPr>
        <w:t xml:space="preserve"> de  </w:t>
      </w:r>
      <w:r>
        <w:rPr>
          <w:rFonts w:ascii="Arial" w:hAnsi="Arial"/>
          <w:sz w:val="22"/>
          <w:szCs w:val="22"/>
        </w:rPr>
        <w:t>la Universidad Nacional de Loja, de conformidad con las siguientes características</w:t>
      </w:r>
    </w:p>
    <w:p w:rsidR="00DD5902" w:rsidRPr="00903CD0" w:rsidRDefault="00DD5902" w:rsidP="00DD5902">
      <w:pPr>
        <w:pStyle w:val="Lista"/>
        <w:ind w:left="0"/>
        <w:jc w:val="both"/>
        <w:rPr>
          <w:sz w:val="22"/>
          <w:szCs w:val="22"/>
          <w:lang w:val="es-EC"/>
        </w:rPr>
      </w:pPr>
    </w:p>
    <w:p w:rsidR="00DD5902" w:rsidRDefault="00DD5902" w:rsidP="00DD5902">
      <w:pPr>
        <w:pStyle w:val="Lista"/>
        <w:ind w:left="0" w:right="-399"/>
        <w:jc w:val="both"/>
        <w:rPr>
          <w:sz w:val="22"/>
          <w:szCs w:val="22"/>
        </w:rPr>
      </w:pPr>
    </w:p>
    <w:tbl>
      <w:tblPr>
        <w:tblW w:w="0" w:type="auto"/>
        <w:jc w:val="center"/>
        <w:tblLook w:val="04A0"/>
      </w:tblPr>
      <w:tblGrid>
        <w:gridCol w:w="836"/>
        <w:gridCol w:w="6484"/>
      </w:tblGrid>
      <w:tr w:rsidR="00DD5902" w:rsidRPr="00B34A97" w:rsidTr="0081221A">
        <w:trPr>
          <w:trHeight w:val="338"/>
          <w:jc w:val="center"/>
        </w:trPr>
        <w:tc>
          <w:tcPr>
            <w:tcW w:w="836" w:type="dxa"/>
            <w:shd w:val="clear" w:color="auto" w:fill="auto"/>
            <w:noWrap/>
            <w:hideMark/>
          </w:tcPr>
          <w:p w:rsidR="00DD5902" w:rsidRPr="00AC145B" w:rsidRDefault="00DD5902" w:rsidP="0081221A">
            <w:pPr>
              <w:jc w:val="center"/>
              <w:rPr>
                <w:rFonts w:ascii="Cambria" w:hAnsi="Cambria"/>
                <w:b/>
                <w:bCs/>
              </w:rPr>
            </w:pPr>
            <w:r w:rsidRPr="00AC145B">
              <w:rPr>
                <w:rFonts w:ascii="Cambria" w:hAnsi="Cambria"/>
                <w:b/>
                <w:bCs/>
              </w:rPr>
              <w:t>CANT</w:t>
            </w:r>
          </w:p>
          <w:p w:rsidR="00DD5902" w:rsidRPr="00AC145B" w:rsidRDefault="00DD5902" w:rsidP="0081221A">
            <w:pPr>
              <w:jc w:val="center"/>
              <w:rPr>
                <w:rFonts w:ascii="Cambria" w:hAnsi="Cambria"/>
                <w:b/>
                <w:bCs/>
              </w:rPr>
            </w:pPr>
          </w:p>
        </w:tc>
        <w:tc>
          <w:tcPr>
            <w:tcW w:w="6484" w:type="dxa"/>
            <w:shd w:val="clear" w:color="auto" w:fill="auto"/>
            <w:noWrap/>
            <w:hideMark/>
          </w:tcPr>
          <w:p w:rsidR="00DD5902" w:rsidRPr="00AC145B" w:rsidRDefault="00DD5902" w:rsidP="0081221A">
            <w:pPr>
              <w:jc w:val="center"/>
              <w:rPr>
                <w:rFonts w:ascii="Cambria" w:hAnsi="Cambria"/>
                <w:b/>
                <w:bCs/>
              </w:rPr>
            </w:pPr>
            <w:r w:rsidRPr="00AC145B">
              <w:rPr>
                <w:rFonts w:ascii="Cambria" w:hAnsi="Cambria"/>
                <w:b/>
                <w:bCs/>
              </w:rPr>
              <w:t>DESCRIPCIÓN:</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CONJUNTO DE ENSAYO TRIAXIAL TRI-FLEX 2/DATA</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 xml:space="preserve">SYSTEM </w:t>
            </w:r>
            <w:proofErr w:type="spellStart"/>
            <w:r w:rsidRPr="00AC145B">
              <w:rPr>
                <w:rFonts w:ascii="Cambria" w:hAnsi="Cambria"/>
                <w:b/>
                <w:lang w:val="en-US"/>
              </w:rPr>
              <w:t>Normas</w:t>
            </w:r>
            <w:proofErr w:type="spellEnd"/>
            <w:r w:rsidRPr="00AC145B">
              <w:rPr>
                <w:rFonts w:ascii="Cambria" w:hAnsi="Cambria"/>
                <w:b/>
                <w:lang w:val="en-US"/>
              </w:rPr>
              <w:t xml:space="preserve"> ASTM D-2850,D-4767; AASHTO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T-296, T297</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6</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CABLE DE EXTENSIÓN DEL TRANSDUCTOR 305 m.</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MODULO DE ENTRADA ANALÓGICO DE EXPANSIÓN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PARA ADU DE 8 CANALES</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CONJUNTO PARA ENSAYOS DE CORTE DIRECTO/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RESIDUAL DATASYSTEM, MÉTRICO Normas ASTM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D-3080 AASHTO T-236.  110V. 50/60 Hz.</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CONJUNTO PARA ENSAYOS DE CONSOLIDACIÓN</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 xml:space="preserve">DATSYSTEM </w:t>
            </w:r>
            <w:proofErr w:type="spellStart"/>
            <w:r w:rsidRPr="00AC145B">
              <w:rPr>
                <w:rFonts w:ascii="Cambria" w:hAnsi="Cambria"/>
                <w:b/>
                <w:lang w:val="en-US"/>
              </w:rPr>
              <w:t>Normas</w:t>
            </w:r>
            <w:proofErr w:type="spellEnd"/>
            <w:r w:rsidRPr="00AC145B">
              <w:rPr>
                <w:rFonts w:ascii="Cambria" w:hAnsi="Cambria"/>
                <w:b/>
                <w:lang w:val="en-US"/>
              </w:rPr>
              <w:t xml:space="preserve"> ASTMD-2435, D4546; AASHTO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T-216  110V.50/60Hz.</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CONJUNTO DE LABORATORIO PARA ENSAYOS</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 xml:space="preserve">CBR DATASYSTEM </w:t>
            </w:r>
            <w:proofErr w:type="spellStart"/>
            <w:r w:rsidRPr="00AC145B">
              <w:rPr>
                <w:rFonts w:ascii="Cambria" w:hAnsi="Cambria"/>
                <w:b/>
                <w:lang w:val="en-US"/>
              </w:rPr>
              <w:t>Normas</w:t>
            </w:r>
            <w:proofErr w:type="spellEnd"/>
            <w:r w:rsidRPr="00AC145B">
              <w:rPr>
                <w:rFonts w:ascii="Cambria" w:hAnsi="Cambria"/>
                <w:b/>
                <w:lang w:val="en-US"/>
              </w:rPr>
              <w:t xml:space="preserve"> D-1883; AASHTO T-193</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110V. 50/60Hz.</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CONJUNTO DE ENSAYOS CBR DE CAMPO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SISTEMA MÉTRICO Norma D-4429</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JUEGO DE BARRENAS BÁSICO con barrenas de</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 DE 82.5mm, y </w:t>
            </w:r>
            <w:proofErr w:type="spellStart"/>
            <w:r w:rsidRPr="00AC145B">
              <w:rPr>
                <w:rFonts w:ascii="Cambria" w:hAnsi="Cambria"/>
                <w:b/>
              </w:rPr>
              <w:t>sacamuestras</w:t>
            </w:r>
            <w:proofErr w:type="spellEnd"/>
            <w:r w:rsidRPr="00AC145B">
              <w:rPr>
                <w:rFonts w:ascii="Cambria" w:hAnsi="Cambria"/>
                <w:b/>
              </w:rPr>
              <w:t xml:space="preserve"> de50</w:t>
            </w:r>
            <w:proofErr w:type="gramStart"/>
            <w:r w:rsidRPr="00AC145B">
              <w:rPr>
                <w:rFonts w:ascii="Cambria" w:hAnsi="Cambria"/>
                <w:b/>
              </w:rPr>
              <w:t>,8</w:t>
            </w:r>
            <w:proofErr w:type="gramEnd"/>
            <w:r w:rsidRPr="00AC145B">
              <w:rPr>
                <w:rFonts w:ascii="Cambria" w:hAnsi="Cambria"/>
                <w:b/>
              </w:rPr>
              <w:t xml:space="preserve"> x 152.4 mm.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CONUNTO DE MUESTREADOR DE SUELO TIPO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lastRenderedPageBreak/>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OAKFIELD Incluye tubo y barrena </w:t>
            </w:r>
            <w:proofErr w:type="spellStart"/>
            <w:r w:rsidRPr="00AC145B">
              <w:rPr>
                <w:rFonts w:ascii="Cambria" w:hAnsi="Cambria"/>
                <w:b/>
              </w:rPr>
              <w:t>sacamuestras</w:t>
            </w:r>
            <w:proofErr w:type="spellEnd"/>
            <w:r w:rsidRPr="00AC145B">
              <w:rPr>
                <w:rFonts w:ascii="Cambria" w:hAnsi="Cambria"/>
                <w:b/>
              </w:rPr>
              <w:t>, dos</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barras de extensión , mango y maleta de fibra de vidrio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JUEGO DE CONO DE DENSIDAD DE ARENA DE</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6 PULG. Normas ASTM D-1556; AASHTO T-191</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SISTEMA MÉTRICO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2</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APARATO DE LÍMITE LÍQUIDO MOTORIZADO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Normas ASTM D-4318; AASHTO T-89 110V. 60Hz.</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2</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HEERAMIENTA DE RANURAR AASHTO. Norma</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ASTMT-89</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CONJUNTO DE ENSAYOS DE ANALISIS DE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TAMAÑO DE PARTICULA. Normas ASTM D-422;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AASHTO T-88.</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3</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CAJAS DE OJALATA PARA MUESTRAS CAPACIDAD</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142 g, 70 x 48 mm. Caja de 12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VOLUMÉTRICO CAPACIDAD 1596 ml. Norma ASTM</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D2167,AASHTO T-205</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INDICADOR DE PRESIÓN VOLUMÉTRICO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BALONES PAQUETE DE 12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HORNO DE LABORTATORIO DE DOBLE PARED</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CAPACIDAD 85 LITROS Incluye dos bandeja y un</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termómetro.230V. 50/60 Hz</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HORNO DE CONVECCIÓN FORZADA CAPACIDAD</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196 LITROS 240 v. 50/60</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MÁQUINA DE COMPRESIÓPN ACCU-TEK 500</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SERIE DIGITAL  110V. 60 </w:t>
            </w:r>
            <w:proofErr w:type="spellStart"/>
            <w:r w:rsidRPr="00AC145B">
              <w:rPr>
                <w:rFonts w:ascii="Cambria" w:hAnsi="Cambria"/>
                <w:b/>
              </w:rPr>
              <w:t>Hz.</w:t>
            </w:r>
            <w:proofErr w:type="spellEnd"/>
            <w:r w:rsidRPr="00AC145B">
              <w:rPr>
                <w:rFonts w:ascii="Cambria" w:hAnsi="Cambria"/>
                <w:b/>
              </w:rPr>
              <w:t xml:space="preserve"> Norma ASTM C-39;</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AASHTO T-22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proofErr w:type="spellStart"/>
            <w:r w:rsidRPr="00AC145B">
              <w:rPr>
                <w:rFonts w:ascii="Cambria" w:hAnsi="Cambria"/>
                <w:b/>
              </w:rPr>
              <w:t>Acceosrios</w:t>
            </w:r>
            <w:proofErr w:type="spellEnd"/>
            <w:r w:rsidRPr="00AC145B">
              <w:rPr>
                <w:rFonts w:ascii="Cambria" w:hAnsi="Cambria"/>
                <w:b/>
              </w:rPr>
              <w:t>:</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JUEGO DE PLATINAS PARA CILINDROS DE HORMIGÓN</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lastRenderedPageBreak/>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152 x 305 mm.</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JUEGO DE PLATINAS PARA CILINDROS DE HORMIGÓN</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102 x 203 mm.</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ACOPLAMIENTO PARA ENSAYOS FLEXURAL</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MEZCLADORA DE HORMIGÓN DE LABORATORIO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Incluye motor y dispositivo de acarreo manual</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10</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ALMOHADILLAS DE COMPRESIÓN DE 6 '"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DURÓMETRO 60 JUEGO DE 2 Normas ASTM C-1231</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AASHTO T-22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PLATOS RETENDORES DE 6" Normas </w:t>
            </w:r>
            <w:proofErr w:type="spellStart"/>
            <w:r w:rsidRPr="00AC145B">
              <w:rPr>
                <w:rFonts w:ascii="Cambria" w:hAnsi="Cambria"/>
                <w:b/>
              </w:rPr>
              <w:t>astm</w:t>
            </w:r>
            <w:proofErr w:type="spellEnd"/>
            <w:r w:rsidRPr="00AC145B">
              <w:rPr>
                <w:rFonts w:ascii="Cambria" w:hAnsi="Cambria"/>
                <w:b/>
              </w:rPr>
              <w:t xml:space="preserve"> C-1231</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AASHTO T-22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6</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MOLDES CILÍNDRICOS DE 6" x 12 "Normas ASTM</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lang w:val="en-US"/>
              </w:rPr>
            </w:pPr>
            <w:r w:rsidRPr="00AC145B">
              <w:rPr>
                <w:rFonts w:ascii="Cambria" w:hAnsi="Cambria"/>
                <w:b/>
                <w:lang w:val="en-US"/>
              </w:rPr>
              <w:t>C-39,C192;AASHTO T-23, T-126</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MARTILLO PARA ENSAYOS DE HORMIGÓN SCHMIDT</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xml:space="preserve">(TIPO N) Incluye caja de transporte y manual de </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Instrucción. MARCA PROCEQ</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CONJUNTOI  PORTÁTIL PARA ENSAYOS DE</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ASENTAMIENTO Normas ASTM C-143,C-192;</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AASHTO T-23, T-119,T-126</w:t>
            </w:r>
          </w:p>
        </w:tc>
      </w:tr>
      <w:tr w:rsidR="00DD5902" w:rsidRPr="00B34A97" w:rsidTr="0081221A">
        <w:trPr>
          <w:trHeight w:val="80"/>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1</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MEDIDOR DE AIRE CONFINADO</w:t>
            </w:r>
          </w:p>
        </w:tc>
      </w:tr>
      <w:tr w:rsidR="00DD5902" w:rsidRPr="00B34A97" w:rsidTr="0081221A">
        <w:trPr>
          <w:trHeight w:val="166"/>
          <w:jc w:val="center"/>
        </w:trPr>
        <w:tc>
          <w:tcPr>
            <w:tcW w:w="836"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c>
          <w:tcPr>
            <w:tcW w:w="6484" w:type="dxa"/>
            <w:shd w:val="clear" w:color="auto" w:fill="auto"/>
            <w:noWrap/>
            <w:hideMark/>
          </w:tcPr>
          <w:p w:rsidR="00DD5902" w:rsidRPr="00AC145B" w:rsidRDefault="00DD5902" w:rsidP="0081221A">
            <w:pPr>
              <w:jc w:val="both"/>
              <w:rPr>
                <w:rFonts w:ascii="Cambria" w:hAnsi="Cambria"/>
                <w:b/>
              </w:rPr>
            </w:pPr>
            <w:r w:rsidRPr="00AC145B">
              <w:rPr>
                <w:rFonts w:ascii="Cambria" w:hAnsi="Cambria"/>
                <w:b/>
              </w:rPr>
              <w:t> </w:t>
            </w:r>
          </w:p>
        </w:tc>
      </w:tr>
      <w:tr w:rsidR="00DD5902" w:rsidRPr="00B34A97" w:rsidTr="0081221A">
        <w:trPr>
          <w:trHeight w:val="166"/>
          <w:jc w:val="center"/>
        </w:trPr>
        <w:tc>
          <w:tcPr>
            <w:tcW w:w="836" w:type="dxa"/>
            <w:shd w:val="clear" w:color="auto" w:fill="auto"/>
            <w:noWrap/>
            <w:hideMark/>
          </w:tcPr>
          <w:p w:rsidR="00DD5902" w:rsidRPr="00B34A97" w:rsidRDefault="00DD5902" w:rsidP="0081221A">
            <w:pPr>
              <w:jc w:val="both"/>
              <w:rPr>
                <w:rFonts w:ascii="Cambria" w:hAnsi="Cambria"/>
                <w:b/>
                <w:sz w:val="28"/>
                <w:szCs w:val="28"/>
              </w:rPr>
            </w:pPr>
            <w:r w:rsidRPr="00B34A97">
              <w:rPr>
                <w:rFonts w:ascii="Cambria" w:hAnsi="Cambria"/>
                <w:b/>
                <w:sz w:val="28"/>
                <w:szCs w:val="28"/>
              </w:rPr>
              <w:t> </w:t>
            </w:r>
          </w:p>
        </w:tc>
        <w:tc>
          <w:tcPr>
            <w:tcW w:w="6484" w:type="dxa"/>
            <w:shd w:val="clear" w:color="auto" w:fill="auto"/>
            <w:noWrap/>
            <w:hideMark/>
          </w:tcPr>
          <w:p w:rsidR="00DD5902" w:rsidRPr="00B34A97" w:rsidRDefault="00DD5902" w:rsidP="0081221A">
            <w:pPr>
              <w:jc w:val="both"/>
              <w:rPr>
                <w:rFonts w:ascii="Cambria" w:hAnsi="Cambria"/>
                <w:b/>
                <w:sz w:val="28"/>
                <w:szCs w:val="28"/>
              </w:rPr>
            </w:pPr>
            <w:r w:rsidRPr="00B34A97">
              <w:rPr>
                <w:rFonts w:ascii="Cambria" w:hAnsi="Cambria"/>
                <w:b/>
                <w:sz w:val="28"/>
                <w:szCs w:val="28"/>
              </w:rPr>
              <w:t> </w:t>
            </w:r>
          </w:p>
        </w:tc>
      </w:tr>
      <w:tr w:rsidR="00DD5902" w:rsidRPr="00B34A97" w:rsidTr="0081221A">
        <w:trPr>
          <w:trHeight w:val="166"/>
          <w:jc w:val="center"/>
        </w:trPr>
        <w:tc>
          <w:tcPr>
            <w:tcW w:w="836" w:type="dxa"/>
            <w:shd w:val="clear" w:color="auto" w:fill="auto"/>
            <w:noWrap/>
            <w:hideMark/>
          </w:tcPr>
          <w:p w:rsidR="00DD5902" w:rsidRPr="00B34A97" w:rsidRDefault="00DD5902" w:rsidP="0081221A">
            <w:pPr>
              <w:jc w:val="both"/>
              <w:rPr>
                <w:rFonts w:ascii="Cambria" w:hAnsi="Cambria"/>
                <w:b/>
                <w:sz w:val="28"/>
                <w:szCs w:val="28"/>
              </w:rPr>
            </w:pPr>
            <w:r w:rsidRPr="00B34A97">
              <w:rPr>
                <w:rFonts w:ascii="Cambria" w:hAnsi="Cambria"/>
                <w:b/>
                <w:sz w:val="28"/>
                <w:szCs w:val="28"/>
              </w:rPr>
              <w:t> </w:t>
            </w:r>
          </w:p>
        </w:tc>
        <w:tc>
          <w:tcPr>
            <w:tcW w:w="6484" w:type="dxa"/>
            <w:shd w:val="clear" w:color="auto" w:fill="auto"/>
            <w:noWrap/>
            <w:hideMark/>
          </w:tcPr>
          <w:p w:rsidR="00DD5902" w:rsidRPr="00B34A97" w:rsidRDefault="00DD5902" w:rsidP="0081221A">
            <w:pPr>
              <w:jc w:val="both"/>
              <w:rPr>
                <w:rFonts w:ascii="Cambria" w:hAnsi="Cambria"/>
                <w:b/>
                <w:sz w:val="28"/>
                <w:szCs w:val="28"/>
              </w:rPr>
            </w:pPr>
            <w:r w:rsidRPr="00B34A97">
              <w:rPr>
                <w:rFonts w:ascii="Cambria" w:hAnsi="Cambria"/>
                <w:b/>
                <w:sz w:val="28"/>
                <w:szCs w:val="28"/>
              </w:rPr>
              <w:t> </w:t>
            </w:r>
          </w:p>
        </w:tc>
      </w:tr>
    </w:tbl>
    <w:p w:rsidR="00DD5902" w:rsidRDefault="00DD5902" w:rsidP="00DD5902">
      <w:pPr>
        <w:pStyle w:val="Lista"/>
        <w:ind w:left="0" w:firstLine="0"/>
        <w:jc w:val="both"/>
        <w:rPr>
          <w:sz w:val="22"/>
          <w:szCs w:val="22"/>
        </w:rPr>
      </w:pPr>
      <w:r w:rsidRPr="00226CA2">
        <w:rPr>
          <w:sz w:val="22"/>
          <w:szCs w:val="22"/>
        </w:rPr>
        <w:t xml:space="preserve">Las </w:t>
      </w:r>
      <w:r>
        <w:rPr>
          <w:sz w:val="22"/>
          <w:szCs w:val="22"/>
        </w:rPr>
        <w:t>ofertas deberán incluir  la marca y modelo de cada uno de los componentes.</w:t>
      </w:r>
    </w:p>
    <w:p w:rsidR="00DD5902" w:rsidRDefault="00DD5902" w:rsidP="00DD5902">
      <w:pPr>
        <w:pStyle w:val="Lista"/>
        <w:ind w:left="0"/>
        <w:jc w:val="both"/>
        <w:rPr>
          <w:sz w:val="22"/>
          <w:szCs w:val="22"/>
        </w:rPr>
      </w:pPr>
    </w:p>
    <w:p w:rsidR="00DD5902" w:rsidRDefault="00DD5902" w:rsidP="00DD5902">
      <w:pPr>
        <w:pStyle w:val="Lista"/>
        <w:ind w:left="0" w:firstLine="0"/>
        <w:jc w:val="both"/>
        <w:rPr>
          <w:sz w:val="22"/>
          <w:szCs w:val="22"/>
        </w:rPr>
      </w:pPr>
      <w:r>
        <w:rPr>
          <w:sz w:val="22"/>
          <w:szCs w:val="22"/>
        </w:rPr>
        <w:t>Las propuestas se presentarán en un solo sobre cerrado, y contendrán lo siguiente:</w:t>
      </w:r>
    </w:p>
    <w:p w:rsidR="00DD5902" w:rsidRDefault="00DD5902" w:rsidP="00DD5902">
      <w:pPr>
        <w:pStyle w:val="Lista"/>
        <w:numPr>
          <w:ilvl w:val="0"/>
          <w:numId w:val="1"/>
        </w:numPr>
        <w:jc w:val="both"/>
        <w:rPr>
          <w:sz w:val="22"/>
          <w:szCs w:val="22"/>
        </w:rPr>
      </w:pPr>
      <w:r>
        <w:rPr>
          <w:sz w:val="22"/>
          <w:szCs w:val="22"/>
        </w:rPr>
        <w:t>Carta de presentación y compromiso</w:t>
      </w:r>
    </w:p>
    <w:p w:rsidR="00DD5902" w:rsidRDefault="00DD5902" w:rsidP="00DD5902">
      <w:pPr>
        <w:pStyle w:val="Lista"/>
        <w:numPr>
          <w:ilvl w:val="0"/>
          <w:numId w:val="1"/>
        </w:numPr>
        <w:jc w:val="both"/>
        <w:rPr>
          <w:sz w:val="22"/>
          <w:szCs w:val="22"/>
        </w:rPr>
      </w:pPr>
      <w:r>
        <w:rPr>
          <w:sz w:val="22"/>
          <w:szCs w:val="22"/>
        </w:rPr>
        <w:t>Certificado  de estar inscrito en el RUP (Registro Único de Proveedores)</w:t>
      </w:r>
    </w:p>
    <w:p w:rsidR="00DD5902" w:rsidRDefault="00DD5902" w:rsidP="00DD5902">
      <w:pPr>
        <w:pStyle w:val="Lista"/>
        <w:numPr>
          <w:ilvl w:val="0"/>
          <w:numId w:val="1"/>
        </w:numPr>
        <w:jc w:val="both"/>
        <w:rPr>
          <w:sz w:val="22"/>
          <w:szCs w:val="22"/>
        </w:rPr>
      </w:pPr>
      <w:r>
        <w:rPr>
          <w:sz w:val="22"/>
          <w:szCs w:val="22"/>
        </w:rPr>
        <w:t>Registro Único de Contribuyentes</w:t>
      </w:r>
    </w:p>
    <w:p w:rsidR="00DD5902" w:rsidRDefault="00DD5902" w:rsidP="00DD5902">
      <w:pPr>
        <w:pStyle w:val="Lista"/>
        <w:numPr>
          <w:ilvl w:val="0"/>
          <w:numId w:val="1"/>
        </w:numPr>
        <w:jc w:val="both"/>
        <w:rPr>
          <w:sz w:val="22"/>
          <w:szCs w:val="22"/>
        </w:rPr>
      </w:pPr>
      <w:r>
        <w:rPr>
          <w:sz w:val="22"/>
          <w:szCs w:val="22"/>
        </w:rPr>
        <w:t>Original de la garantía de seriedad de la propuesta</w:t>
      </w:r>
    </w:p>
    <w:p w:rsidR="00DD5902" w:rsidRDefault="00DD5902" w:rsidP="00DD5902">
      <w:pPr>
        <w:pStyle w:val="Lista"/>
        <w:numPr>
          <w:ilvl w:val="0"/>
          <w:numId w:val="1"/>
        </w:numPr>
        <w:jc w:val="both"/>
        <w:rPr>
          <w:sz w:val="22"/>
          <w:szCs w:val="22"/>
        </w:rPr>
      </w:pPr>
      <w:r>
        <w:rPr>
          <w:sz w:val="22"/>
          <w:szCs w:val="22"/>
        </w:rPr>
        <w:lastRenderedPageBreak/>
        <w:t>Declaración juramentada de cumplir con los requisitos establecidos en la Ley de no estar  inhabilitado para celebrar contratos con el Estado y sus Organismos o Entidades.</w:t>
      </w:r>
    </w:p>
    <w:p w:rsidR="00DD5902" w:rsidRPr="00524413" w:rsidRDefault="00DD5902" w:rsidP="00DD5902">
      <w:pPr>
        <w:pStyle w:val="Lista"/>
        <w:numPr>
          <w:ilvl w:val="0"/>
          <w:numId w:val="1"/>
        </w:numPr>
        <w:jc w:val="both"/>
        <w:rPr>
          <w:sz w:val="22"/>
          <w:szCs w:val="22"/>
        </w:rPr>
      </w:pPr>
      <w:r>
        <w:rPr>
          <w:sz w:val="22"/>
          <w:szCs w:val="22"/>
        </w:rPr>
        <w:t>Los documentos deberán presentarse  foliados y rubricados por el proponente en original o copias certificadas por la  autoridad competente.</w:t>
      </w:r>
    </w:p>
    <w:p w:rsidR="00DD5902" w:rsidRDefault="00DD5902" w:rsidP="00DD5902">
      <w:pPr>
        <w:pStyle w:val="Lista"/>
        <w:ind w:left="0" w:right="-427" w:firstLine="0"/>
        <w:jc w:val="both"/>
        <w:rPr>
          <w:sz w:val="22"/>
          <w:szCs w:val="22"/>
        </w:rPr>
      </w:pPr>
    </w:p>
    <w:p w:rsidR="00DD5902" w:rsidRDefault="00DD5902" w:rsidP="00DD5902">
      <w:pPr>
        <w:pStyle w:val="Lista"/>
        <w:ind w:left="0" w:right="-427" w:firstLine="0"/>
        <w:jc w:val="both"/>
        <w:rPr>
          <w:sz w:val="22"/>
          <w:szCs w:val="22"/>
        </w:rPr>
      </w:pPr>
      <w:r>
        <w:rPr>
          <w:sz w:val="22"/>
          <w:szCs w:val="22"/>
        </w:rPr>
        <w:t>NOTA: Las ofertas podrán hacerlas por el total de los equipos solicitados o por  ITEMS.</w:t>
      </w:r>
    </w:p>
    <w:p w:rsidR="00DD5902" w:rsidRDefault="00DD5902" w:rsidP="00DD5902">
      <w:pPr>
        <w:pStyle w:val="Lista"/>
        <w:ind w:left="0" w:right="-427" w:firstLine="0"/>
        <w:jc w:val="both"/>
        <w:rPr>
          <w:sz w:val="22"/>
          <w:szCs w:val="22"/>
        </w:rPr>
      </w:pPr>
    </w:p>
    <w:p w:rsidR="00DD5902" w:rsidRDefault="00DD5902" w:rsidP="00DD5902">
      <w:pPr>
        <w:pStyle w:val="Lista"/>
        <w:ind w:left="0" w:right="-427" w:firstLine="0"/>
        <w:jc w:val="both"/>
        <w:rPr>
          <w:sz w:val="22"/>
          <w:szCs w:val="22"/>
        </w:rPr>
      </w:pPr>
      <w:r>
        <w:rPr>
          <w:sz w:val="22"/>
          <w:szCs w:val="22"/>
        </w:rPr>
        <w:t>La forma de pago del contrato se realizará contra-entrega o con anticipo del 50% y el otro 50% a la firma del acta de entrega recepción de los equipos y el informe favorable de cumplir con las características técnicas requeridas y su debido funcionamiento.</w:t>
      </w:r>
    </w:p>
    <w:p w:rsidR="00DD5902" w:rsidRDefault="00DD5902" w:rsidP="00DD5902">
      <w:pPr>
        <w:pStyle w:val="Lista"/>
        <w:ind w:left="0" w:right="-427" w:firstLine="0"/>
        <w:jc w:val="both"/>
        <w:rPr>
          <w:sz w:val="22"/>
          <w:szCs w:val="22"/>
        </w:rPr>
      </w:pPr>
    </w:p>
    <w:p w:rsidR="00DD5902" w:rsidRDefault="00DD5902" w:rsidP="00DD5902">
      <w:pPr>
        <w:pStyle w:val="Lista"/>
        <w:ind w:left="0" w:right="-427" w:firstLine="0"/>
        <w:jc w:val="both"/>
        <w:rPr>
          <w:sz w:val="22"/>
          <w:szCs w:val="22"/>
        </w:rPr>
      </w:pPr>
      <w:r w:rsidRPr="004B77C9">
        <w:rPr>
          <w:sz w:val="22"/>
          <w:szCs w:val="22"/>
        </w:rPr>
        <w:t>El pago se financiará con cargo a la Partida   presupuestaria Nro. 2008.170.0000.0000.01.00.000.001.5.3.08.11.0000.101.0000.0000</w:t>
      </w:r>
      <w:proofErr w:type="gramStart"/>
      <w:r w:rsidRPr="004B77C9">
        <w:rPr>
          <w:sz w:val="22"/>
          <w:szCs w:val="22"/>
        </w:rPr>
        <w:t>.I41.21202.21.05.001</w:t>
      </w:r>
      <w:proofErr w:type="gramEnd"/>
      <w:r w:rsidRPr="004B77C9">
        <w:rPr>
          <w:sz w:val="22"/>
          <w:szCs w:val="22"/>
        </w:rPr>
        <w:t xml:space="preserve"> “</w:t>
      </w:r>
      <w:r w:rsidRPr="004B77C9">
        <w:rPr>
          <w:b/>
          <w:sz w:val="22"/>
          <w:szCs w:val="22"/>
        </w:rPr>
        <w:t>MATERIALES DE CONSTRUCCIÓN, ELÉCT</w:t>
      </w:r>
      <w:r>
        <w:rPr>
          <w:b/>
          <w:sz w:val="22"/>
          <w:szCs w:val="22"/>
        </w:rPr>
        <w:t>R</w:t>
      </w:r>
      <w:r w:rsidRPr="004B77C9">
        <w:rPr>
          <w:b/>
          <w:sz w:val="22"/>
          <w:szCs w:val="22"/>
        </w:rPr>
        <w:t>ICOS, PLOMERÍA Y CARPINTERÍA</w:t>
      </w:r>
      <w:r w:rsidRPr="004B77C9">
        <w:rPr>
          <w:sz w:val="22"/>
          <w:szCs w:val="22"/>
        </w:rPr>
        <w:t>”,   y la partida Nro. 2008.170.0000.0000.21.00.001.001.8.4.01.04.0000.501.0000.0000</w:t>
      </w:r>
      <w:proofErr w:type="gramStart"/>
      <w:r w:rsidRPr="004B77C9">
        <w:rPr>
          <w:sz w:val="22"/>
          <w:szCs w:val="22"/>
        </w:rPr>
        <w:t>.I41.22104.01.08.001</w:t>
      </w:r>
      <w:proofErr w:type="gramEnd"/>
      <w:r w:rsidRPr="004B77C9">
        <w:rPr>
          <w:sz w:val="22"/>
          <w:szCs w:val="22"/>
        </w:rPr>
        <w:t xml:space="preserve"> “</w:t>
      </w:r>
      <w:r w:rsidRPr="00B97952">
        <w:rPr>
          <w:b/>
          <w:sz w:val="22"/>
          <w:szCs w:val="22"/>
        </w:rPr>
        <w:t>MAQUINARIAS Y EQUIPOS”</w:t>
      </w:r>
      <w:r>
        <w:rPr>
          <w:b/>
          <w:sz w:val="22"/>
          <w:szCs w:val="22"/>
        </w:rPr>
        <w:t xml:space="preserve"> </w:t>
      </w:r>
      <w:r w:rsidRPr="00E46004">
        <w:rPr>
          <w:sz w:val="22"/>
          <w:szCs w:val="22"/>
        </w:rPr>
        <w:t xml:space="preserve">por la suma de </w:t>
      </w:r>
      <w:r>
        <w:rPr>
          <w:sz w:val="22"/>
          <w:szCs w:val="22"/>
        </w:rPr>
        <w:t>USD $ CIENTO VEINTICINCO MIL DIECIOCHO DÓLARES AMERICANOS 97/100 ( $ 125.018.97),  con fondos de la Administración Central.</w:t>
      </w:r>
    </w:p>
    <w:p w:rsidR="00DD5902" w:rsidRPr="002728AC" w:rsidRDefault="00DD5902" w:rsidP="00DD5902">
      <w:pPr>
        <w:pStyle w:val="Textoindependiente"/>
        <w:ind w:right="-427"/>
        <w:rPr>
          <w:rFonts w:ascii="Arial" w:hAnsi="Arial"/>
          <w:sz w:val="22"/>
          <w:szCs w:val="22"/>
          <w:lang w:val="es-ES"/>
        </w:rPr>
      </w:pPr>
    </w:p>
    <w:p w:rsidR="00DD5902" w:rsidRDefault="00DD5902" w:rsidP="00DD5902">
      <w:pPr>
        <w:pStyle w:val="Textoindependiente"/>
        <w:ind w:right="-427"/>
        <w:rPr>
          <w:rFonts w:ascii="Arial" w:hAnsi="Arial"/>
          <w:sz w:val="22"/>
          <w:szCs w:val="22"/>
        </w:rPr>
      </w:pPr>
      <w:r>
        <w:rPr>
          <w:rFonts w:ascii="Arial" w:hAnsi="Arial"/>
          <w:sz w:val="22"/>
          <w:szCs w:val="22"/>
        </w:rPr>
        <w:t>El plazo para la entrega de los equipos es de  treinta días (30)  a partir de la entrega del anticipo</w:t>
      </w:r>
    </w:p>
    <w:p w:rsidR="00DD5902" w:rsidRDefault="00DD5902" w:rsidP="00DD5902">
      <w:pPr>
        <w:pStyle w:val="Lista"/>
        <w:ind w:left="0" w:right="-427" w:firstLine="0"/>
        <w:jc w:val="both"/>
        <w:rPr>
          <w:sz w:val="22"/>
          <w:szCs w:val="22"/>
        </w:rPr>
      </w:pPr>
      <w:r>
        <w:rPr>
          <w:sz w:val="22"/>
          <w:szCs w:val="22"/>
        </w:rPr>
        <w:t>Los equipos deberán entregarse en la Universidad Nacional de Loja (Laboratorio de Mecánica de Rocas y Suelos del Área de la Energía las Industrias y los Recursos Naturales no renovables), brindando para ello la capacitación  correspondiente al personal  técnico en cuanto al uso y manejo de los mismos.</w:t>
      </w:r>
    </w:p>
    <w:p w:rsidR="00DD5902" w:rsidRDefault="00DD5902" w:rsidP="00DD5902">
      <w:pPr>
        <w:pStyle w:val="Textoindependiente"/>
        <w:ind w:right="-427"/>
        <w:rPr>
          <w:rFonts w:ascii="Arial" w:hAnsi="Arial"/>
          <w:sz w:val="22"/>
          <w:szCs w:val="22"/>
          <w:lang w:val="es-ES"/>
        </w:rPr>
      </w:pPr>
    </w:p>
    <w:p w:rsidR="00DD5902" w:rsidRDefault="00DD5902" w:rsidP="00DD5902">
      <w:pPr>
        <w:pStyle w:val="Textoindependiente"/>
        <w:ind w:right="-427"/>
        <w:rPr>
          <w:rFonts w:ascii="Arial" w:hAnsi="Arial"/>
          <w:sz w:val="22"/>
          <w:szCs w:val="22"/>
        </w:rPr>
      </w:pPr>
      <w:r>
        <w:rPr>
          <w:rFonts w:ascii="Arial" w:hAnsi="Arial"/>
          <w:sz w:val="22"/>
          <w:szCs w:val="22"/>
        </w:rPr>
        <w:t xml:space="preserve">Las ofertas se presentarán en castellano, en un sobre cerrado con las debidas seguridades que impidan conocer su contenido anticipadamente, debiendo ser entregadas en la Secretaría de la Dirección de Recursos Humanos y Servicios Administrativos de la Universidad Nacional de Loja, ubicada en la ciudad Universitaria “Guillermo </w:t>
      </w:r>
      <w:proofErr w:type="spellStart"/>
      <w:r>
        <w:rPr>
          <w:rFonts w:ascii="Arial" w:hAnsi="Arial"/>
          <w:sz w:val="22"/>
          <w:szCs w:val="22"/>
        </w:rPr>
        <w:t>Falconí</w:t>
      </w:r>
      <w:proofErr w:type="spellEnd"/>
      <w:r>
        <w:rPr>
          <w:rFonts w:ascii="Arial" w:hAnsi="Arial"/>
          <w:sz w:val="22"/>
          <w:szCs w:val="22"/>
        </w:rPr>
        <w:t xml:space="preserve"> Espinosa”, Sector La Argelia, hasta las  11H00 del día viernes 5 de diciembre del 2008. La apertura de los sobres se realizará una hora después de la recepción, pudiendo estar presentes los oferentes.</w:t>
      </w:r>
    </w:p>
    <w:p w:rsidR="00DD5902" w:rsidRPr="00226CA2" w:rsidRDefault="00DD5902" w:rsidP="00DD5902">
      <w:pPr>
        <w:pStyle w:val="Textoindependiente"/>
        <w:ind w:right="-427"/>
        <w:rPr>
          <w:rFonts w:ascii="Arial" w:hAnsi="Arial"/>
          <w:sz w:val="22"/>
          <w:szCs w:val="22"/>
        </w:rPr>
      </w:pPr>
    </w:p>
    <w:p w:rsidR="00DD5902" w:rsidRPr="00226CA2" w:rsidRDefault="00DD5902" w:rsidP="00DD5902">
      <w:pPr>
        <w:pStyle w:val="Textoindependiente"/>
        <w:ind w:right="-427"/>
        <w:rPr>
          <w:rFonts w:ascii="Arial" w:hAnsi="Arial"/>
          <w:sz w:val="22"/>
          <w:szCs w:val="22"/>
        </w:rPr>
      </w:pPr>
      <w:r w:rsidRPr="00226CA2">
        <w:rPr>
          <w:rFonts w:ascii="Arial" w:hAnsi="Arial"/>
          <w:sz w:val="22"/>
          <w:szCs w:val="22"/>
        </w:rPr>
        <w:t xml:space="preserve">Las propuestas que no contengan la documentación solicitada serán descalificadas  en el mismo momento de la apertura de los sobres. Así mismo, la Universidad se reserva el derecho de declarar desierto  el presente concurso, por falta de oferentes o por considerar así conveniente a los intereses de la institución, ordenar la reapertura del concurso o convocar a un nuevo proceso  si fuere necesario, sin que los participantes tengan derecho a reclamo  o indemnización alguna. </w:t>
      </w:r>
    </w:p>
    <w:p w:rsidR="00DD5902" w:rsidRPr="00226CA2" w:rsidRDefault="00DD5902" w:rsidP="00DD5902">
      <w:pPr>
        <w:pStyle w:val="Textoindependiente"/>
        <w:rPr>
          <w:rFonts w:ascii="Arial" w:hAnsi="Arial"/>
          <w:sz w:val="22"/>
          <w:szCs w:val="22"/>
        </w:rPr>
      </w:pPr>
    </w:p>
    <w:p w:rsidR="00DD5902" w:rsidRPr="00226CA2" w:rsidRDefault="00DD5902" w:rsidP="00DD5902">
      <w:pPr>
        <w:pStyle w:val="Textoindependiente"/>
        <w:ind w:right="-427"/>
        <w:rPr>
          <w:rFonts w:ascii="Arial" w:hAnsi="Arial"/>
          <w:sz w:val="22"/>
          <w:szCs w:val="22"/>
        </w:rPr>
      </w:pPr>
      <w:r w:rsidRPr="00226CA2">
        <w:rPr>
          <w:rFonts w:ascii="Arial" w:hAnsi="Arial"/>
          <w:sz w:val="22"/>
          <w:szCs w:val="22"/>
        </w:rPr>
        <w:t>No se aceptarán ofertas remitidas por</w:t>
      </w:r>
      <w:r>
        <w:rPr>
          <w:rFonts w:ascii="Arial" w:hAnsi="Arial"/>
          <w:sz w:val="22"/>
          <w:szCs w:val="22"/>
        </w:rPr>
        <w:t xml:space="preserve"> vía </w:t>
      </w:r>
      <w:r w:rsidRPr="00226CA2">
        <w:rPr>
          <w:rFonts w:ascii="Arial" w:hAnsi="Arial"/>
          <w:sz w:val="22"/>
          <w:szCs w:val="22"/>
        </w:rPr>
        <w:t xml:space="preserve"> fa</w:t>
      </w:r>
      <w:r>
        <w:rPr>
          <w:rFonts w:ascii="Arial" w:hAnsi="Arial"/>
          <w:sz w:val="22"/>
          <w:szCs w:val="22"/>
        </w:rPr>
        <w:t>x</w:t>
      </w:r>
      <w:r w:rsidRPr="00226CA2">
        <w:rPr>
          <w:rFonts w:ascii="Arial" w:hAnsi="Arial"/>
          <w:sz w:val="22"/>
          <w:szCs w:val="22"/>
        </w:rPr>
        <w:t>, télex, ni las presentadas fuera del tiempo reglamentario, o presentadas en otro lugar del señalado</w:t>
      </w:r>
    </w:p>
    <w:p w:rsidR="00DD5902" w:rsidRPr="00226CA2" w:rsidRDefault="00DD5902" w:rsidP="00DD5902">
      <w:pPr>
        <w:pStyle w:val="Textoindependiente"/>
        <w:rPr>
          <w:rFonts w:ascii="Arial" w:hAnsi="Arial"/>
          <w:sz w:val="22"/>
          <w:szCs w:val="22"/>
        </w:rPr>
      </w:pPr>
    </w:p>
    <w:p w:rsidR="00DD5902" w:rsidRPr="00AB3723" w:rsidRDefault="00DD5902" w:rsidP="00DD5902">
      <w:pPr>
        <w:pStyle w:val="Textoindependiente"/>
        <w:rPr>
          <w:rFonts w:ascii="Arial" w:hAnsi="Arial"/>
          <w:sz w:val="22"/>
          <w:szCs w:val="22"/>
        </w:rPr>
      </w:pPr>
      <w:r w:rsidRPr="00226CA2">
        <w:rPr>
          <w:rFonts w:ascii="Arial" w:hAnsi="Arial"/>
          <w:sz w:val="22"/>
          <w:szCs w:val="22"/>
        </w:rPr>
        <w:t>Atentamente</w:t>
      </w:r>
      <w:r w:rsidRPr="00226CA2">
        <w:rPr>
          <w:rFonts w:ascii="Arial" w:hAnsi="Arial"/>
        </w:rPr>
        <w:tab/>
      </w:r>
      <w:r>
        <w:rPr>
          <w:rFonts w:ascii="Arial" w:hAnsi="Arial"/>
        </w:rPr>
        <w:tab/>
        <w:t xml:space="preserve">     </w:t>
      </w:r>
    </w:p>
    <w:p w:rsidR="00DD5902" w:rsidRPr="00226CA2" w:rsidRDefault="00DD5902" w:rsidP="00DD5902">
      <w:pPr>
        <w:pStyle w:val="Sangranormal"/>
        <w:ind w:left="6372" w:right="-427"/>
        <w:jc w:val="both"/>
        <w:rPr>
          <w:rFonts w:ascii="Arial" w:hAnsi="Arial" w:cs="Arial"/>
          <w:sz w:val="16"/>
          <w:szCs w:val="16"/>
        </w:rPr>
      </w:pPr>
      <w:r>
        <w:rPr>
          <w:rFonts w:ascii="Arial" w:hAnsi="Arial" w:cs="Arial"/>
          <w:sz w:val="16"/>
          <w:szCs w:val="16"/>
        </w:rPr>
        <w:t xml:space="preserve">              Loja,  noviembre 27</w:t>
      </w:r>
      <w:r w:rsidRPr="00226CA2">
        <w:rPr>
          <w:rFonts w:ascii="Arial" w:hAnsi="Arial" w:cs="Arial"/>
          <w:sz w:val="16"/>
          <w:szCs w:val="16"/>
        </w:rPr>
        <w:t>– 008</w:t>
      </w:r>
    </w:p>
    <w:p w:rsidR="00DD5902" w:rsidRPr="00226CA2" w:rsidRDefault="00DD5902" w:rsidP="00DD5902">
      <w:pPr>
        <w:pStyle w:val="Sangranormal"/>
        <w:ind w:left="0"/>
        <w:jc w:val="both"/>
        <w:rPr>
          <w:rFonts w:ascii="Arial" w:hAnsi="Arial" w:cs="Arial"/>
          <w:sz w:val="16"/>
          <w:szCs w:val="16"/>
        </w:rPr>
      </w:pPr>
    </w:p>
    <w:p w:rsidR="00DD5902" w:rsidRDefault="00DD5902" w:rsidP="00DD5902">
      <w:pPr>
        <w:jc w:val="both"/>
        <w:rPr>
          <w:rFonts w:ascii="Arial" w:hAnsi="Arial" w:cs="Arial"/>
        </w:rPr>
      </w:pPr>
    </w:p>
    <w:p w:rsidR="00DD5902" w:rsidRPr="00226CA2" w:rsidRDefault="00DD5902" w:rsidP="00DD5902">
      <w:pPr>
        <w:jc w:val="both"/>
        <w:rPr>
          <w:rFonts w:ascii="Arial" w:hAnsi="Arial" w:cs="Arial"/>
        </w:rPr>
      </w:pPr>
      <w:r w:rsidRPr="00226CA2">
        <w:rPr>
          <w:rFonts w:ascii="Arial" w:hAnsi="Arial" w:cs="Arial"/>
        </w:rPr>
        <w:t>Dr. Mg. Sc. Gustavo Enrique Villacís Rivas</w:t>
      </w:r>
    </w:p>
    <w:p w:rsidR="00DD5902" w:rsidRPr="00226CA2" w:rsidRDefault="00DD5902" w:rsidP="00DD5902">
      <w:pPr>
        <w:jc w:val="both"/>
        <w:rPr>
          <w:rFonts w:ascii="Arial" w:hAnsi="Arial" w:cs="Arial"/>
          <w:b/>
        </w:rPr>
      </w:pPr>
      <w:r w:rsidRPr="00226CA2">
        <w:rPr>
          <w:rFonts w:ascii="Arial" w:hAnsi="Arial" w:cs="Arial"/>
          <w:b/>
        </w:rPr>
        <w:tab/>
        <w:t>R  E C T O R</w:t>
      </w:r>
    </w:p>
    <w:p w:rsidR="00000000" w:rsidRDefault="00DD5902"/>
    <w:sectPr w:rsidR="0000000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461957"/>
    <w:multiLevelType w:val="hybridMultilevel"/>
    <w:tmpl w:val="64F68D90"/>
    <w:lvl w:ilvl="0" w:tplc="6B76EF9E">
      <w:start w:val="1"/>
      <w:numFmt w:val="decimal"/>
      <w:lvlText w:val="%1."/>
      <w:lvlJc w:val="left"/>
      <w:pPr>
        <w:ind w:left="420" w:hanging="360"/>
      </w:pPr>
      <w:rPr>
        <w:rFonts w:hint="default"/>
        <w:b w:val="0"/>
      </w:rPr>
    </w:lvl>
    <w:lvl w:ilvl="1" w:tplc="0C0A0019" w:tentative="1">
      <w:start w:val="1"/>
      <w:numFmt w:val="lowerLetter"/>
      <w:lvlText w:val="%2."/>
      <w:lvlJc w:val="left"/>
      <w:pPr>
        <w:ind w:left="1140" w:hanging="360"/>
      </w:pPr>
    </w:lvl>
    <w:lvl w:ilvl="2" w:tplc="0C0A001B" w:tentative="1">
      <w:start w:val="1"/>
      <w:numFmt w:val="lowerRoman"/>
      <w:lvlText w:val="%3."/>
      <w:lvlJc w:val="right"/>
      <w:pPr>
        <w:ind w:left="1860" w:hanging="180"/>
      </w:pPr>
    </w:lvl>
    <w:lvl w:ilvl="3" w:tplc="0C0A000F" w:tentative="1">
      <w:start w:val="1"/>
      <w:numFmt w:val="decimal"/>
      <w:lvlText w:val="%4."/>
      <w:lvlJc w:val="left"/>
      <w:pPr>
        <w:ind w:left="2580" w:hanging="360"/>
      </w:pPr>
    </w:lvl>
    <w:lvl w:ilvl="4" w:tplc="0C0A0019" w:tentative="1">
      <w:start w:val="1"/>
      <w:numFmt w:val="lowerLetter"/>
      <w:lvlText w:val="%5."/>
      <w:lvlJc w:val="left"/>
      <w:pPr>
        <w:ind w:left="3300" w:hanging="360"/>
      </w:pPr>
    </w:lvl>
    <w:lvl w:ilvl="5" w:tplc="0C0A001B" w:tentative="1">
      <w:start w:val="1"/>
      <w:numFmt w:val="lowerRoman"/>
      <w:lvlText w:val="%6."/>
      <w:lvlJc w:val="right"/>
      <w:pPr>
        <w:ind w:left="4020" w:hanging="180"/>
      </w:pPr>
    </w:lvl>
    <w:lvl w:ilvl="6" w:tplc="0C0A000F" w:tentative="1">
      <w:start w:val="1"/>
      <w:numFmt w:val="decimal"/>
      <w:lvlText w:val="%7."/>
      <w:lvlJc w:val="left"/>
      <w:pPr>
        <w:ind w:left="4740" w:hanging="360"/>
      </w:pPr>
    </w:lvl>
    <w:lvl w:ilvl="7" w:tplc="0C0A0019" w:tentative="1">
      <w:start w:val="1"/>
      <w:numFmt w:val="lowerLetter"/>
      <w:lvlText w:val="%8."/>
      <w:lvlJc w:val="left"/>
      <w:pPr>
        <w:ind w:left="5460" w:hanging="360"/>
      </w:pPr>
    </w:lvl>
    <w:lvl w:ilvl="8" w:tplc="0C0A001B" w:tentative="1">
      <w:start w:val="1"/>
      <w:numFmt w:val="lowerRoman"/>
      <w:lvlText w:val="%9."/>
      <w:lvlJc w:val="right"/>
      <w:pPr>
        <w:ind w:left="61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DD5902"/>
    <w:rsid w:val="00DD590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D5902"/>
    <w:pPr>
      <w:tabs>
        <w:tab w:val="left" w:pos="180"/>
      </w:tabs>
      <w:spacing w:after="0" w:line="240" w:lineRule="auto"/>
      <w:jc w:val="both"/>
    </w:pPr>
    <w:rPr>
      <w:rFonts w:ascii="Times New Roman" w:eastAsia="Times New Roman" w:hAnsi="Times New Roman" w:cs="Times New Roman"/>
      <w:sz w:val="20"/>
      <w:szCs w:val="24"/>
      <w:lang w:val="es-EC"/>
    </w:rPr>
  </w:style>
  <w:style w:type="character" w:customStyle="1" w:styleId="TextoindependienteCar">
    <w:name w:val="Texto independiente Car"/>
    <w:basedOn w:val="Fuentedeprrafopredeter"/>
    <w:link w:val="Textoindependiente"/>
    <w:rsid w:val="00DD5902"/>
    <w:rPr>
      <w:rFonts w:ascii="Times New Roman" w:eastAsia="Times New Roman" w:hAnsi="Times New Roman" w:cs="Times New Roman"/>
      <w:sz w:val="20"/>
      <w:szCs w:val="24"/>
      <w:lang w:val="es-EC"/>
    </w:rPr>
  </w:style>
  <w:style w:type="paragraph" w:styleId="Lista">
    <w:name w:val="List"/>
    <w:basedOn w:val="Normal"/>
    <w:rsid w:val="00DD5902"/>
    <w:pPr>
      <w:spacing w:after="0" w:line="240" w:lineRule="auto"/>
      <w:ind w:left="283" w:hanging="283"/>
    </w:pPr>
    <w:rPr>
      <w:rFonts w:ascii="Arial" w:eastAsia="Times New Roman" w:hAnsi="Arial" w:cs="Arial"/>
      <w:sz w:val="24"/>
      <w:szCs w:val="20"/>
    </w:rPr>
  </w:style>
  <w:style w:type="paragraph" w:styleId="Sangranormal">
    <w:name w:val="Normal Indent"/>
    <w:basedOn w:val="Normal"/>
    <w:rsid w:val="00DD5902"/>
    <w:pPr>
      <w:spacing w:after="0" w:line="240" w:lineRule="auto"/>
      <w:ind w:left="708"/>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972</Words>
  <Characters>5350</Characters>
  <Application>Microsoft Office Word</Application>
  <DocSecurity>0</DocSecurity>
  <Lines>44</Lines>
  <Paragraphs>12</Paragraphs>
  <ScaleCrop>false</ScaleCrop>
  <Company/>
  <LinksUpToDate>false</LinksUpToDate>
  <CharactersWithSpaces>6310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2</cp:revision>
  <dcterms:created xsi:type="dcterms:W3CDTF">2008-11-28T00:12:00Z</dcterms:created>
  <dcterms:modified xsi:type="dcterms:W3CDTF">2008-11-28T00:12:00Z</dcterms:modified>
</cp:coreProperties>
</file>